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2.xml" ContentType="application/vnd.openxmlformats-officedocument.themeOverride+xml"/>
  <Default Extension="xlsm" ContentType="application/vnd.ms-excel.sheet.macroEnabled.12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F3" w:rsidRPr="00FA218F" w:rsidRDefault="00F739F3" w:rsidP="00F739F3">
      <w:pPr>
        <w:ind w:left="284" w:right="425"/>
        <w:jc w:val="center"/>
        <w:rPr>
          <w:b/>
        </w:rPr>
      </w:pPr>
      <w:r w:rsidRPr="00FA218F">
        <w:rPr>
          <w:noProof/>
        </w:rPr>
        <w:pict>
          <v:rect id="_x0000_s1785" style="position:absolute;left:0;text-align:left;margin-left:0;margin-top:0;width:509.65pt;height:753.95pt;z-index:251657216" filled="f" strokecolor="#339"/>
        </w:pict>
      </w:r>
    </w:p>
    <w:p w:rsidR="00772D0C" w:rsidRPr="00FA218F" w:rsidRDefault="00772D0C" w:rsidP="00772D0C">
      <w:pPr>
        <w:ind w:left="284" w:right="425"/>
        <w:jc w:val="center"/>
        <w:rPr>
          <w:b/>
        </w:rPr>
      </w:pPr>
    </w:p>
    <w:p w:rsidR="00772D0C" w:rsidRPr="00FA218F" w:rsidRDefault="00772D0C" w:rsidP="00772D0C">
      <w:pPr>
        <w:jc w:val="center"/>
        <w:rPr>
          <w:b/>
          <w:color w:val="000080"/>
        </w:rPr>
      </w:pPr>
      <w:r w:rsidRPr="00FA218F">
        <w:rPr>
          <w:color w:val="000080"/>
          <w:sz w:val="32"/>
        </w:rPr>
        <w:t>МЧС  РОССИИ</w:t>
      </w:r>
    </w:p>
    <w:p w:rsidR="00772D0C" w:rsidRPr="00FA218F" w:rsidRDefault="00A36ACC" w:rsidP="00772D0C">
      <w:pPr>
        <w:ind w:left="284" w:right="425"/>
        <w:jc w:val="center"/>
        <w:rPr>
          <w:b/>
          <w:color w:val="00008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46990</wp:posOffset>
            </wp:positionV>
            <wp:extent cx="878205" cy="1126490"/>
            <wp:effectExtent l="19050" t="0" r="0" b="0"/>
            <wp:wrapNone/>
            <wp:docPr id="871" name="Рисунок 871" descr="гпн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 descr="гпн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2D0C" w:rsidRPr="00FA218F" w:rsidRDefault="00772D0C" w:rsidP="00772D0C">
      <w:pPr>
        <w:ind w:left="284" w:right="425"/>
        <w:jc w:val="center"/>
        <w:rPr>
          <w:b/>
          <w:color w:val="000080"/>
        </w:rPr>
      </w:pPr>
    </w:p>
    <w:p w:rsidR="00772D0C" w:rsidRPr="00FA218F" w:rsidRDefault="00772D0C" w:rsidP="00772D0C">
      <w:pPr>
        <w:ind w:left="284" w:right="425"/>
        <w:jc w:val="center"/>
        <w:rPr>
          <w:b/>
          <w:color w:val="000080"/>
        </w:rPr>
      </w:pPr>
    </w:p>
    <w:p w:rsidR="00772D0C" w:rsidRPr="00FA218F" w:rsidRDefault="00772D0C" w:rsidP="00772D0C">
      <w:pPr>
        <w:ind w:right="425"/>
        <w:jc w:val="center"/>
        <w:rPr>
          <w:b/>
          <w:color w:val="000080"/>
        </w:rPr>
      </w:pPr>
    </w:p>
    <w:p w:rsidR="00772D0C" w:rsidRPr="00FA218F" w:rsidRDefault="00772D0C" w:rsidP="00772D0C">
      <w:pPr>
        <w:ind w:left="284" w:right="425"/>
        <w:jc w:val="center"/>
        <w:rPr>
          <w:b/>
          <w:color w:val="000080"/>
        </w:rPr>
      </w:pPr>
    </w:p>
    <w:p w:rsidR="00772D0C" w:rsidRPr="00FA218F" w:rsidRDefault="00772D0C" w:rsidP="00772D0C">
      <w:pPr>
        <w:ind w:left="284" w:right="425"/>
        <w:jc w:val="center"/>
        <w:rPr>
          <w:b/>
          <w:bCs/>
          <w:color w:val="000080"/>
        </w:rPr>
      </w:pPr>
    </w:p>
    <w:p w:rsidR="00772D0C" w:rsidRPr="00FA218F" w:rsidRDefault="00772D0C" w:rsidP="00772D0C">
      <w:pPr>
        <w:ind w:left="284" w:right="425"/>
        <w:jc w:val="center"/>
        <w:rPr>
          <w:b/>
          <w:bCs/>
          <w:color w:val="000080"/>
        </w:rPr>
      </w:pPr>
    </w:p>
    <w:p w:rsidR="00772D0C" w:rsidRPr="00FA218F" w:rsidRDefault="00772D0C" w:rsidP="00772D0C">
      <w:pPr>
        <w:ind w:left="284" w:right="425"/>
        <w:jc w:val="center"/>
        <w:rPr>
          <w:b/>
          <w:bCs/>
          <w:color w:val="000080"/>
        </w:rPr>
      </w:pPr>
      <w:r w:rsidRPr="00FA218F">
        <w:rPr>
          <w:b/>
          <w:bCs/>
          <w:color w:val="000080"/>
        </w:rPr>
        <w:t xml:space="preserve"> </w:t>
      </w:r>
    </w:p>
    <w:p w:rsidR="00772D0C" w:rsidRPr="00FA218F" w:rsidRDefault="00772D0C" w:rsidP="00772D0C">
      <w:pPr>
        <w:ind w:right="425"/>
        <w:jc w:val="center"/>
      </w:pPr>
    </w:p>
    <w:p w:rsidR="00772D0C" w:rsidRPr="00FA218F" w:rsidRDefault="00772D0C" w:rsidP="00772D0C">
      <w:pPr>
        <w:ind w:left="284" w:right="425"/>
        <w:jc w:val="center"/>
        <w:rPr>
          <w:b/>
        </w:rPr>
      </w:pPr>
    </w:p>
    <w:p w:rsidR="00772D0C" w:rsidRPr="00FA218F" w:rsidRDefault="00772D0C" w:rsidP="00772D0C">
      <w:pPr>
        <w:ind w:left="284" w:right="425"/>
        <w:jc w:val="center"/>
        <w:rPr>
          <w:b/>
        </w:rPr>
      </w:pPr>
    </w:p>
    <w:p w:rsidR="00772D0C" w:rsidRPr="00FA218F" w:rsidRDefault="00772D0C" w:rsidP="00772D0C">
      <w:pPr>
        <w:ind w:left="284" w:right="425"/>
        <w:jc w:val="center"/>
        <w:rPr>
          <w:b/>
        </w:rPr>
      </w:pPr>
    </w:p>
    <w:p w:rsidR="00772D0C" w:rsidRPr="00FA218F" w:rsidRDefault="00772D0C" w:rsidP="00772D0C">
      <w:pPr>
        <w:ind w:left="284" w:right="425"/>
        <w:jc w:val="center"/>
        <w:rPr>
          <w:b/>
        </w:rPr>
      </w:pPr>
    </w:p>
    <w:p w:rsidR="00772D0C" w:rsidRPr="00FA218F" w:rsidRDefault="00772D0C" w:rsidP="00772D0C">
      <w:pPr>
        <w:ind w:left="284" w:right="425"/>
        <w:jc w:val="center"/>
        <w:rPr>
          <w:b/>
        </w:rPr>
      </w:pPr>
    </w:p>
    <w:p w:rsidR="00772D0C" w:rsidRPr="00FA218F" w:rsidRDefault="00772D0C" w:rsidP="00772D0C">
      <w:pPr>
        <w:ind w:left="284" w:right="425"/>
        <w:jc w:val="center"/>
        <w:rPr>
          <w:b/>
        </w:rPr>
      </w:pPr>
    </w:p>
    <w:p w:rsidR="00772D0C" w:rsidRPr="00FA218F" w:rsidRDefault="00772D0C" w:rsidP="00772D0C">
      <w:pPr>
        <w:ind w:left="284" w:right="425"/>
        <w:jc w:val="center"/>
        <w:rPr>
          <w:sz w:val="40"/>
        </w:rPr>
      </w:pPr>
    </w:p>
    <w:p w:rsidR="00772D0C" w:rsidRPr="00FA218F" w:rsidRDefault="00772D0C" w:rsidP="00772D0C">
      <w:pPr>
        <w:pStyle w:val="1"/>
        <w:spacing w:after="120"/>
        <w:ind w:left="0" w:right="14"/>
        <w:rPr>
          <w:sz w:val="40"/>
          <w:szCs w:val="40"/>
        </w:rPr>
      </w:pPr>
      <w:r w:rsidRPr="00FA218F">
        <w:rPr>
          <w:sz w:val="40"/>
          <w:szCs w:val="40"/>
        </w:rPr>
        <w:t>АНАЛИЗ</w:t>
      </w:r>
    </w:p>
    <w:p w:rsidR="00772D0C" w:rsidRPr="00FA218F" w:rsidRDefault="00772D0C" w:rsidP="00772D0C">
      <w:pPr>
        <w:pStyle w:val="1"/>
        <w:ind w:left="0" w:right="14"/>
        <w:rPr>
          <w:sz w:val="34"/>
        </w:rPr>
      </w:pPr>
      <w:r w:rsidRPr="00FA218F">
        <w:rPr>
          <w:sz w:val="34"/>
        </w:rPr>
        <w:t>ОБСТАНОВКИ   С   ПОЖАРАМИ</w:t>
      </w:r>
    </w:p>
    <w:p w:rsidR="00772D0C" w:rsidRPr="00FA218F" w:rsidRDefault="00772D0C" w:rsidP="00772D0C">
      <w:pPr>
        <w:ind w:right="14"/>
        <w:jc w:val="center"/>
        <w:rPr>
          <w:b/>
          <w:bCs/>
          <w:color w:val="FF0000"/>
          <w:sz w:val="34"/>
        </w:rPr>
      </w:pPr>
      <w:r w:rsidRPr="00FA218F">
        <w:rPr>
          <w:b/>
          <w:bCs/>
          <w:color w:val="FF0000"/>
          <w:sz w:val="34"/>
        </w:rPr>
        <w:t>И  ПОСЛЕДСТВИЙ  ОТ  НИХ</w:t>
      </w:r>
    </w:p>
    <w:p w:rsidR="00772D0C" w:rsidRPr="00FA218F" w:rsidRDefault="00772D0C" w:rsidP="00772D0C">
      <w:pPr>
        <w:ind w:right="14"/>
        <w:jc w:val="center"/>
        <w:rPr>
          <w:b/>
          <w:bCs/>
          <w:color w:val="FF0000"/>
          <w:sz w:val="34"/>
        </w:rPr>
      </w:pPr>
      <w:r w:rsidRPr="00FA218F">
        <w:rPr>
          <w:b/>
          <w:bCs/>
          <w:color w:val="FF0000"/>
          <w:sz w:val="34"/>
        </w:rPr>
        <w:t>НА   ТЕРРИТОРИИ</w:t>
      </w:r>
    </w:p>
    <w:p w:rsidR="00772D0C" w:rsidRPr="00FA218F" w:rsidRDefault="00772D0C" w:rsidP="00772D0C">
      <w:pPr>
        <w:pStyle w:val="6"/>
        <w:ind w:left="0" w:right="14"/>
      </w:pPr>
      <w:r w:rsidRPr="00FA218F">
        <w:t xml:space="preserve">Свердловской области </w:t>
      </w:r>
    </w:p>
    <w:p w:rsidR="00772D0C" w:rsidRPr="00FA218F" w:rsidRDefault="00E466BA" w:rsidP="00772D0C">
      <w:pPr>
        <w:pStyle w:val="7"/>
        <w:spacing w:before="120"/>
        <w:ind w:left="0" w:right="14"/>
        <w:rPr>
          <w:i w:val="0"/>
          <w:iCs w:val="0"/>
          <w:sz w:val="36"/>
        </w:rPr>
      </w:pPr>
      <w:r>
        <w:rPr>
          <w:i w:val="0"/>
          <w:iCs w:val="0"/>
          <w:sz w:val="36"/>
          <w:lang w:val="en-US"/>
        </w:rPr>
        <w:t xml:space="preserve"> за 2014 год </w:t>
      </w: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ind w:left="284" w:right="425"/>
        <w:jc w:val="center"/>
      </w:pPr>
    </w:p>
    <w:p w:rsidR="00772D0C" w:rsidRPr="00FA218F" w:rsidRDefault="00772D0C" w:rsidP="00772D0C">
      <w:pPr>
        <w:pStyle w:val="4"/>
      </w:pPr>
      <w:r w:rsidRPr="00FA218F">
        <w:t>Екатеринбург</w:t>
      </w:r>
    </w:p>
    <w:p w:rsidR="00772D0C" w:rsidRPr="00FA218F" w:rsidRDefault="00772D0C" w:rsidP="00772D0C"/>
    <w:p w:rsidR="00772D0C" w:rsidRPr="00FA218F" w:rsidRDefault="00772D0C" w:rsidP="00772D0C">
      <w:pPr>
        <w:jc w:val="center"/>
        <w:rPr>
          <w:b/>
          <w:sz w:val="32"/>
          <w:szCs w:val="32"/>
        </w:rPr>
      </w:pPr>
      <w:r w:rsidRPr="00FA218F">
        <w:rPr>
          <w:b/>
          <w:sz w:val="32"/>
          <w:szCs w:val="32"/>
        </w:rPr>
        <w:lastRenderedPageBreak/>
        <w:t>Обстановка с пожарами и их последствиями</w:t>
      </w:r>
    </w:p>
    <w:p w:rsidR="00772D0C" w:rsidRPr="00FA218F" w:rsidRDefault="00772D0C" w:rsidP="00772D0C">
      <w:pPr>
        <w:jc w:val="center"/>
        <w:rPr>
          <w:b/>
          <w:sz w:val="32"/>
          <w:szCs w:val="32"/>
        </w:rPr>
      </w:pPr>
      <w:r w:rsidRPr="00FA218F">
        <w:rPr>
          <w:b/>
          <w:sz w:val="32"/>
          <w:szCs w:val="32"/>
        </w:rPr>
        <w:t>в Свердловской области</w:t>
      </w:r>
    </w:p>
    <w:p w:rsidR="00223B7D" w:rsidRPr="00FA218F" w:rsidRDefault="00223B7D" w:rsidP="00A31A5F">
      <w:pPr>
        <w:rPr>
          <w:sz w:val="20"/>
          <w:szCs w:val="20"/>
        </w:rPr>
      </w:pPr>
    </w:p>
    <w:p w:rsidR="00E466BA" w:rsidRPr="00E466BA" w:rsidRDefault="00E466BA" w:rsidP="00CC7303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За 12 месяцев 2014 года  оперативная обстановка с пожарами в Свердловской области по сравнению с аналогичным периодом прошлого года (АППГ) характеризовалась следующими основными показателями:</w:t>
      </w:r>
    </w:p>
    <w:p w:rsidR="00E466BA" w:rsidRPr="00E466BA" w:rsidRDefault="00E466BA" w:rsidP="00CC7303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- зарегистрировано 3772 пожара (в 2013 г. – 3888 (-3,0%));</w:t>
      </w:r>
    </w:p>
    <w:p w:rsidR="00E466BA" w:rsidRPr="00E466BA" w:rsidRDefault="00E466BA" w:rsidP="00CC7303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- при пожарах погибли 341 человек (в 2013 г. – 353 (-3,4%), в том числе 24 ребенка (в 2013 г. – 28 (-14,3%%));</w:t>
      </w:r>
    </w:p>
    <w:p w:rsidR="00E466BA" w:rsidRPr="00E466BA" w:rsidRDefault="00E466BA" w:rsidP="00CC7303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- при пожарах получили травмы 326 человек (в 2013 г. – 351 (-7,1%));</w:t>
      </w:r>
    </w:p>
    <w:p w:rsidR="00E466BA" w:rsidRPr="00E466BA" w:rsidRDefault="00E466BA" w:rsidP="00CC7303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- прямой материальный ущерб причинен в размере 363,5 млн.руб. ( +27,1%));</w:t>
      </w:r>
    </w:p>
    <w:p w:rsidR="00E466BA" w:rsidRPr="00FF41CD" w:rsidRDefault="00E466BA" w:rsidP="00CC7303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- зарегистрировано выездов пожарных подразделений на ликвидацию </w:t>
      </w:r>
      <w:r w:rsidRPr="00FF41CD">
        <w:rPr>
          <w:sz w:val="28"/>
          <w:szCs w:val="28"/>
        </w:rPr>
        <w:t>7484 загорания.</w:t>
      </w:r>
    </w:p>
    <w:p w:rsidR="005062DE" w:rsidRPr="00FA218F" w:rsidRDefault="005062DE" w:rsidP="00CC7303">
      <w:pPr>
        <w:ind w:firstLine="720"/>
        <w:jc w:val="both"/>
        <w:rPr>
          <w:sz w:val="16"/>
          <w:szCs w:val="16"/>
        </w:rPr>
      </w:pPr>
    </w:p>
    <w:p w:rsidR="00FF41CD" w:rsidRPr="00D27D52" w:rsidRDefault="00FF41CD" w:rsidP="00FF41CD">
      <w:pPr>
        <w:jc w:val="center"/>
        <w:rPr>
          <w:b/>
        </w:rPr>
      </w:pPr>
      <w:r w:rsidRPr="00FA218F">
        <w:rPr>
          <w:b/>
          <w:sz w:val="28"/>
          <w:szCs w:val="28"/>
        </w:rPr>
        <w:t xml:space="preserve">Количество пожаров и их последствий в </w:t>
      </w:r>
      <w:r>
        <w:rPr>
          <w:b/>
          <w:sz w:val="28"/>
          <w:szCs w:val="28"/>
        </w:rPr>
        <w:t>Свердловской области</w:t>
      </w:r>
    </w:p>
    <w:p w:rsidR="00FF41CD" w:rsidRDefault="00A36ACC" w:rsidP="00FF41CD">
      <w:pPr>
        <w:jc w:val="center"/>
      </w:pPr>
      <w:r>
        <w:rPr>
          <w:noProof/>
        </w:rPr>
        <w:drawing>
          <wp:inline distT="0" distB="0" distL="0" distR="0">
            <wp:extent cx="6265545" cy="2730500"/>
            <wp:effectExtent l="0" t="0" r="0" b="0"/>
            <wp:docPr id="11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10735" w:rsidRPr="00FA218F" w:rsidRDefault="00C10735" w:rsidP="00CC7303">
      <w:pPr>
        <w:ind w:firstLine="720"/>
        <w:jc w:val="both"/>
        <w:rPr>
          <w:sz w:val="16"/>
          <w:szCs w:val="16"/>
        </w:rPr>
      </w:pPr>
    </w:p>
    <w:p w:rsidR="00CC7303" w:rsidRPr="00E466BA" w:rsidRDefault="00E466BA" w:rsidP="00CC7303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Подразделениями пожарной охраны на пожарах спасено 1487 человек и материальных ценностей на сумму более 98,95 млн. рублей.</w:t>
      </w:r>
    </w:p>
    <w:p w:rsidR="001C4F2D" w:rsidRPr="00FF41CD" w:rsidRDefault="00E466BA" w:rsidP="001C4F2D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Ежедневно в Свердловской области происходило 10,4 пожара, при которых погибали 0,9 человека и 0,9 человека получали травмы, огнем уничтожалось 2,9 строения, 0,6 единиц автотракторной техники. </w:t>
      </w:r>
      <w:r w:rsidRPr="00FF41CD">
        <w:rPr>
          <w:sz w:val="28"/>
          <w:szCs w:val="28"/>
        </w:rPr>
        <w:t>Ежедневный материальный ущерб составил 1,0 млн. рублей.</w:t>
      </w:r>
    </w:p>
    <w:p w:rsidR="0010181E" w:rsidRPr="00FA218F" w:rsidRDefault="0010181E" w:rsidP="00CC7303">
      <w:pPr>
        <w:ind w:firstLine="720"/>
        <w:jc w:val="both"/>
        <w:rPr>
          <w:sz w:val="16"/>
          <w:szCs w:val="16"/>
        </w:rPr>
      </w:pPr>
    </w:p>
    <w:p w:rsidR="00FF41CD" w:rsidRPr="00FA218F" w:rsidRDefault="00FF41CD" w:rsidP="00FF41CD">
      <w:pPr>
        <w:jc w:val="center"/>
        <w:rPr>
          <w:b/>
          <w:sz w:val="28"/>
          <w:szCs w:val="28"/>
        </w:rPr>
      </w:pPr>
      <w:r w:rsidRPr="00FA218F">
        <w:rPr>
          <w:b/>
          <w:sz w:val="28"/>
          <w:szCs w:val="28"/>
        </w:rPr>
        <w:t>Распределение количества пожаров по месяцам</w:t>
      </w:r>
    </w:p>
    <w:p w:rsidR="00FF41CD" w:rsidRDefault="00A36ACC" w:rsidP="00FF41CD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6265545" cy="2730500"/>
            <wp:effectExtent l="0" t="0" r="0" b="0"/>
            <wp:docPr id="17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04DA6" w:rsidRPr="00FA218F" w:rsidRDefault="00E466BA" w:rsidP="00804DA6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Рост пожаров произошел в январе на +1,4 % , а</w:t>
      </w:r>
      <w:r w:rsidR="00FF41CD">
        <w:rPr>
          <w:sz w:val="28"/>
          <w:szCs w:val="28"/>
        </w:rPr>
        <w:t>преле на +3,3 % , мае на +1,6 %</w:t>
      </w:r>
      <w:r w:rsidRPr="00E466BA">
        <w:rPr>
          <w:sz w:val="28"/>
          <w:szCs w:val="28"/>
        </w:rPr>
        <w:t xml:space="preserve">, ноябре на +9,0 % , декабре на +6,8 % , </w:t>
      </w:r>
    </w:p>
    <w:p w:rsidR="00705441" w:rsidRPr="00FA218F" w:rsidRDefault="00E466BA" w:rsidP="00705441">
      <w:pPr>
        <w:ind w:firstLine="720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Произошел одновременный рост количества пожаров, погибших и травмированных при них людей в  МО г. Каменск-Уральский (+0,8%,+42,9%,+20,0% соответственно), ГО Карпинск (+2,3%,+166,7%,+66,7%), Кушвинском ГО (+3,2%,+20,0%,+100,0%), Нижнетуринском ГО (+12,5%,+100,0%,+66,7%), Североуральском ГО (+11,6%,+400,0%,+80,0%), Сысертском ГО (+3,6%,+60,0%,+20,0%), Талицком ГО (+2,7%,+100,0%,+100,0%).</w:t>
      </w:r>
      <w:r w:rsidR="00BC5091" w:rsidRPr="00FA218F">
        <w:rPr>
          <w:color w:val="000000"/>
          <w:sz w:val="28"/>
          <w:szCs w:val="28"/>
        </w:rPr>
        <w:t xml:space="preserve"> </w:t>
      </w:r>
    </w:p>
    <w:p w:rsidR="00032DBB" w:rsidRPr="00D63F9C" w:rsidRDefault="00E466BA" w:rsidP="0078763C">
      <w:pPr>
        <w:pStyle w:val="a7"/>
        <w:tabs>
          <w:tab w:val="left" w:pos="1005"/>
        </w:tabs>
        <w:ind w:firstLine="709"/>
        <w:jc w:val="both"/>
        <w:rPr>
          <w:b w:val="0"/>
          <w:iCs w:val="0"/>
          <w:spacing w:val="0"/>
          <w:szCs w:val="28"/>
        </w:rPr>
      </w:pPr>
      <w:r w:rsidRPr="00D63F9C">
        <w:rPr>
          <w:b w:val="0"/>
          <w:iCs w:val="0"/>
          <w:spacing w:val="0"/>
          <w:szCs w:val="28"/>
        </w:rPr>
        <w:t>Зарегистрирован рост количества пожаров и погибших при них людей в  Махневском МО (+20,0%,увел. соответственно), ГО Верхнее Дуброво (+50,0%,+100,0%), Верхнесалдинском ГО (+12,8%,+40,0%), Невьянском ГО (+5,1%,+366,7%), Слободотуринском МР (+4,0%,+100,0%).</w:t>
      </w:r>
      <w:r w:rsidR="00BC5091" w:rsidRPr="00FA218F">
        <w:rPr>
          <w:b w:val="0"/>
          <w:iCs w:val="0"/>
          <w:spacing w:val="0"/>
          <w:szCs w:val="28"/>
        </w:rPr>
        <w:t xml:space="preserve"> </w:t>
      </w:r>
    </w:p>
    <w:p w:rsidR="007439F7" w:rsidRPr="00FA218F" w:rsidRDefault="00E466BA" w:rsidP="0078763C">
      <w:pPr>
        <w:pStyle w:val="a7"/>
        <w:tabs>
          <w:tab w:val="left" w:pos="1005"/>
        </w:tabs>
        <w:ind w:firstLine="709"/>
        <w:jc w:val="both"/>
        <w:rPr>
          <w:b w:val="0"/>
          <w:iCs w:val="0"/>
          <w:spacing w:val="0"/>
          <w:szCs w:val="28"/>
        </w:rPr>
      </w:pPr>
      <w:r w:rsidRPr="00D63F9C">
        <w:rPr>
          <w:b w:val="0"/>
          <w:iCs w:val="0"/>
          <w:spacing w:val="0"/>
          <w:szCs w:val="28"/>
        </w:rPr>
        <w:t>Одновременный рост числа пожаров и травмированных людей произошел в  МО городе Алапаевске (+8,0%,+133,3% соответственно).</w:t>
      </w:r>
      <w:r w:rsidR="00BC5091" w:rsidRPr="00FA218F">
        <w:rPr>
          <w:b w:val="0"/>
          <w:iCs w:val="0"/>
          <w:spacing w:val="0"/>
          <w:szCs w:val="28"/>
        </w:rPr>
        <w:t xml:space="preserve"> </w:t>
      </w:r>
    </w:p>
    <w:p w:rsidR="007439F7" w:rsidRPr="00FA218F" w:rsidRDefault="00E466BA" w:rsidP="0078763C">
      <w:pPr>
        <w:pStyle w:val="a7"/>
        <w:tabs>
          <w:tab w:val="left" w:pos="1005"/>
        </w:tabs>
        <w:ind w:firstLine="709"/>
        <w:jc w:val="both"/>
        <w:rPr>
          <w:b w:val="0"/>
          <w:iCs w:val="0"/>
          <w:spacing w:val="0"/>
          <w:szCs w:val="28"/>
        </w:rPr>
      </w:pPr>
      <w:r w:rsidRPr="00D63F9C">
        <w:rPr>
          <w:b w:val="0"/>
          <w:iCs w:val="0"/>
          <w:spacing w:val="0"/>
          <w:szCs w:val="28"/>
        </w:rPr>
        <w:t>Отмечается одновременный рост числа погибших и травмированных при пожарах людей в Артинском ГО (+350,0%,+150,0% соответственно), Белоярском ГО (+100,0%,+50,0%), ГО Верхотурский (увел.,+200,0%), Гаринском ГО (+100,0%,+100,0%), ГО Верх-Нейвинский (+400,0%,увел.), ГО Первоуральск (+85,7%,+12,5%), ГО Сухой Лог (+40,0%,+100,0%).</w:t>
      </w:r>
      <w:r w:rsidR="00BC5091" w:rsidRPr="00FA218F">
        <w:rPr>
          <w:b w:val="0"/>
          <w:iCs w:val="0"/>
          <w:spacing w:val="0"/>
          <w:szCs w:val="28"/>
        </w:rPr>
        <w:t xml:space="preserve"> </w:t>
      </w:r>
    </w:p>
    <w:p w:rsidR="00E466BA" w:rsidRPr="00D63F9C" w:rsidRDefault="00E466BA" w:rsidP="0078763C">
      <w:pPr>
        <w:pStyle w:val="a7"/>
        <w:tabs>
          <w:tab w:val="left" w:pos="1005"/>
        </w:tabs>
        <w:ind w:firstLine="709"/>
        <w:jc w:val="both"/>
        <w:rPr>
          <w:b w:val="0"/>
          <w:iCs w:val="0"/>
          <w:spacing w:val="0"/>
          <w:szCs w:val="28"/>
        </w:rPr>
      </w:pPr>
      <w:r w:rsidRPr="00D63F9C">
        <w:rPr>
          <w:b w:val="0"/>
          <w:iCs w:val="0"/>
          <w:spacing w:val="0"/>
          <w:szCs w:val="28"/>
        </w:rPr>
        <w:t>В 11 муниципальных образованиях Свердловской области отмечается увеличение числа пожаров (МО городе Екатеринбург (+17,8%), Ачитском ГО (+14,3%), ГО Среднеуральск (+27,3%), Ивдельском ГО (+14,3%), МО Камышловском муниципальном районе (+4,0%), Камышловском ГО (+6,9%), Волчанском ГО (+90,9%), МО Красноуфимский округ (+12,1%), Бисертском ГО (+33,3%), Серовском ГО (+10,4%), Тугулымском ГО (+4,4%) ).</w:t>
      </w:r>
    </w:p>
    <w:p w:rsidR="00BC5091" w:rsidRPr="00D63F9C" w:rsidRDefault="00BC5091" w:rsidP="0078763C">
      <w:pPr>
        <w:pStyle w:val="a7"/>
        <w:tabs>
          <w:tab w:val="left" w:pos="1005"/>
        </w:tabs>
        <w:ind w:firstLine="709"/>
        <w:jc w:val="both"/>
        <w:rPr>
          <w:b w:val="0"/>
          <w:iCs w:val="0"/>
          <w:spacing w:val="0"/>
          <w:szCs w:val="28"/>
        </w:rPr>
      </w:pPr>
      <w:r w:rsidRPr="00D63F9C">
        <w:rPr>
          <w:b w:val="0"/>
          <w:iCs w:val="0"/>
          <w:spacing w:val="0"/>
          <w:szCs w:val="28"/>
        </w:rPr>
        <w:t xml:space="preserve"> </w:t>
      </w:r>
    </w:p>
    <w:p w:rsidR="00E466BA" w:rsidRPr="00D63F9C" w:rsidRDefault="00E466BA" w:rsidP="0078763C">
      <w:pPr>
        <w:pStyle w:val="a7"/>
        <w:tabs>
          <w:tab w:val="left" w:pos="1005"/>
        </w:tabs>
        <w:ind w:firstLine="709"/>
        <w:jc w:val="both"/>
        <w:rPr>
          <w:b w:val="0"/>
          <w:iCs w:val="0"/>
          <w:spacing w:val="0"/>
          <w:szCs w:val="28"/>
        </w:rPr>
      </w:pPr>
      <w:r w:rsidRPr="00D63F9C">
        <w:rPr>
          <w:b w:val="0"/>
          <w:iCs w:val="0"/>
          <w:spacing w:val="0"/>
          <w:szCs w:val="28"/>
        </w:rPr>
        <w:t>В 7 муниципальных образованиях Свердловской области отмечается увеличение числа погибших при пожарах людей (Берёзовском ГО (+66,7%), Ирбитском МО (+400,0%), ГО Верхний Тагил (увел.), Пышминском ГО (увел.), ГО Дегтярск (+300,0%), Сосьвинском ГО (увел.), Тавдинском ГО (+166,7%) ).</w:t>
      </w:r>
    </w:p>
    <w:p w:rsidR="0078763C" w:rsidRPr="00FA218F" w:rsidRDefault="00BC5091" w:rsidP="0078763C">
      <w:pPr>
        <w:pStyle w:val="a7"/>
        <w:tabs>
          <w:tab w:val="left" w:pos="1005"/>
        </w:tabs>
        <w:ind w:firstLine="709"/>
        <w:jc w:val="both"/>
        <w:rPr>
          <w:b w:val="0"/>
          <w:iCs w:val="0"/>
          <w:spacing w:val="0"/>
          <w:szCs w:val="28"/>
        </w:rPr>
      </w:pPr>
      <w:r w:rsidRPr="00FA218F">
        <w:rPr>
          <w:b w:val="0"/>
          <w:iCs w:val="0"/>
          <w:spacing w:val="0"/>
          <w:szCs w:val="28"/>
        </w:rPr>
        <w:t xml:space="preserve"> </w:t>
      </w:r>
    </w:p>
    <w:p w:rsidR="00E466BA" w:rsidRDefault="00E466BA" w:rsidP="006E5474">
      <w:pPr>
        <w:ind w:firstLine="720"/>
        <w:jc w:val="both"/>
        <w:rPr>
          <w:color w:val="000000"/>
          <w:sz w:val="28"/>
          <w:szCs w:val="28"/>
          <w:lang w:val="en-US"/>
        </w:rPr>
      </w:pPr>
      <w:r w:rsidRPr="00D63F9C">
        <w:rPr>
          <w:color w:val="000000"/>
          <w:sz w:val="28"/>
          <w:szCs w:val="28"/>
        </w:rPr>
        <w:lastRenderedPageBreak/>
        <w:t xml:space="preserve">В 4 муниципальных образованиях Свердловской области отмечается увеличение числа погибших при пожарах детей (Берёзовском ГО (увел.), Горноуральском ГО (увел.), ГО Краснотурьинск (увел.), Бисертском ГО (увел.) </w:t>
      </w:r>
      <w:r>
        <w:rPr>
          <w:color w:val="000000"/>
          <w:sz w:val="28"/>
          <w:szCs w:val="28"/>
          <w:lang w:val="en-US"/>
        </w:rPr>
        <w:t>).</w:t>
      </w:r>
    </w:p>
    <w:p w:rsidR="00150853" w:rsidRPr="00FA218F" w:rsidRDefault="00BC5091" w:rsidP="006E5474">
      <w:pPr>
        <w:ind w:firstLine="720"/>
        <w:jc w:val="both"/>
        <w:rPr>
          <w:color w:val="000000"/>
          <w:sz w:val="28"/>
          <w:szCs w:val="28"/>
        </w:rPr>
      </w:pPr>
      <w:r w:rsidRPr="00FA218F">
        <w:rPr>
          <w:color w:val="000000"/>
          <w:sz w:val="28"/>
          <w:szCs w:val="28"/>
        </w:rPr>
        <w:t xml:space="preserve"> </w:t>
      </w:r>
    </w:p>
    <w:p w:rsidR="00E466BA" w:rsidRDefault="00E466BA" w:rsidP="00B46152">
      <w:pPr>
        <w:ind w:firstLine="720"/>
        <w:jc w:val="both"/>
        <w:rPr>
          <w:color w:val="000000"/>
          <w:sz w:val="28"/>
          <w:szCs w:val="28"/>
          <w:lang w:val="en-US"/>
        </w:rPr>
      </w:pPr>
      <w:r w:rsidRPr="00D63F9C">
        <w:rPr>
          <w:color w:val="000000"/>
          <w:sz w:val="28"/>
          <w:szCs w:val="28"/>
        </w:rPr>
        <w:t xml:space="preserve">В 8 муниципальных образованиях Свердловской области отмечается увеличение числа травмированных при пожарах людей (Артёмовском ГО (+50,0%), ГО Краснотурьинск (+125,0%), ГО Красноуральск (+50,0%), г. Нижний Тагил (+10,0%), Полевском ГО (увел.), Режевском ГО (+150,0%), Туринском ГО (+50,0%), ГО Староуткинск (увел.) </w:t>
      </w:r>
      <w:r>
        <w:rPr>
          <w:color w:val="000000"/>
          <w:sz w:val="28"/>
          <w:szCs w:val="28"/>
          <w:lang w:val="en-US"/>
        </w:rPr>
        <w:t>).</w:t>
      </w:r>
    </w:p>
    <w:p w:rsidR="00F4127D" w:rsidRPr="00FA218F" w:rsidRDefault="00BC5091" w:rsidP="00B46152">
      <w:pPr>
        <w:ind w:firstLine="720"/>
        <w:jc w:val="both"/>
        <w:rPr>
          <w:color w:val="000000"/>
          <w:sz w:val="28"/>
          <w:szCs w:val="28"/>
        </w:rPr>
      </w:pPr>
      <w:r w:rsidRPr="00FA218F">
        <w:rPr>
          <w:color w:val="000000"/>
          <w:sz w:val="28"/>
          <w:szCs w:val="28"/>
        </w:rPr>
        <w:t xml:space="preserve"> </w:t>
      </w:r>
    </w:p>
    <w:p w:rsidR="00E466BA" w:rsidRPr="00D63F9C" w:rsidRDefault="00E466BA" w:rsidP="00B46152">
      <w:pPr>
        <w:ind w:firstLine="720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На пожарах больше погибало лиц мужского пола – 66,9% от общего количества погибших, женщин – 33,1% от общего количества.</w:t>
      </w:r>
    </w:p>
    <w:p w:rsidR="00B46152" w:rsidRPr="00FA218F" w:rsidRDefault="00BC5091" w:rsidP="00B46152">
      <w:pPr>
        <w:ind w:firstLine="720"/>
        <w:jc w:val="both"/>
        <w:rPr>
          <w:color w:val="000000"/>
          <w:sz w:val="28"/>
          <w:szCs w:val="28"/>
        </w:rPr>
      </w:pPr>
      <w:r w:rsidRPr="00FA218F">
        <w:rPr>
          <w:color w:val="000000"/>
          <w:sz w:val="28"/>
          <w:szCs w:val="28"/>
        </w:rPr>
        <w:t xml:space="preserve"> </w:t>
      </w:r>
    </w:p>
    <w:p w:rsidR="00B46152" w:rsidRPr="00FA218F" w:rsidRDefault="00E466BA" w:rsidP="00B46152">
      <w:pPr>
        <w:ind w:firstLine="720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 xml:space="preserve">Относительно аналогичного периода прошлого года количество погибших людей, находящихся в нетрезвом состоянии, снизилось на 21,6%, с 190 человек до 149.В городах этот процент составляет  43,4%  от общего числа погибших в городах, в сельской местности - 44,4%  от общего числа погибших в сельской местности. </w:t>
      </w:r>
      <w:r w:rsidR="00BC5091" w:rsidRPr="00FA218F">
        <w:rPr>
          <w:color w:val="000000"/>
          <w:sz w:val="28"/>
          <w:szCs w:val="28"/>
        </w:rPr>
        <w:t xml:space="preserve"> </w:t>
      </w:r>
    </w:p>
    <w:p w:rsidR="00753091" w:rsidRPr="00FA218F" w:rsidRDefault="00753091" w:rsidP="00273706">
      <w:pPr>
        <w:jc w:val="center"/>
        <w:rPr>
          <w:b/>
          <w:sz w:val="10"/>
          <w:szCs w:val="10"/>
        </w:rPr>
      </w:pPr>
    </w:p>
    <w:p w:rsidR="00256B4F" w:rsidRPr="00FA218F" w:rsidRDefault="00E466BA" w:rsidP="00B46152">
      <w:pPr>
        <w:ind w:firstLine="720"/>
        <w:jc w:val="both"/>
        <w:rPr>
          <w:sz w:val="28"/>
          <w:szCs w:val="28"/>
        </w:rPr>
      </w:pPr>
      <w:r w:rsidRPr="00D63F9C">
        <w:rPr>
          <w:color w:val="000000"/>
          <w:sz w:val="28"/>
          <w:szCs w:val="28"/>
        </w:rPr>
        <w:t xml:space="preserve">За 12 месяцев 2014 года наибольшее количество пожаров приходилось на субботу – 625 (16,6 % от общего количества), наименьшее на вторник – 488 (12,9 %). Больше всего людей погибало в понедельник – 69 человек (20,2% от общего количества), меньше всего в среду – 37 человек (10,9%). </w:t>
      </w:r>
      <w:r w:rsidR="00BC5091" w:rsidRPr="00FA218F">
        <w:rPr>
          <w:color w:val="000000"/>
          <w:sz w:val="28"/>
          <w:szCs w:val="28"/>
        </w:rPr>
        <w:t xml:space="preserve"> </w:t>
      </w:r>
    </w:p>
    <w:p w:rsidR="004027F2" w:rsidRPr="00FA218F" w:rsidRDefault="004027F2" w:rsidP="00B46152">
      <w:pPr>
        <w:ind w:firstLine="720"/>
        <w:jc w:val="both"/>
        <w:rPr>
          <w:color w:val="000000"/>
          <w:sz w:val="10"/>
          <w:szCs w:val="10"/>
        </w:rPr>
      </w:pPr>
    </w:p>
    <w:p w:rsidR="00615C26" w:rsidRPr="00FA218F" w:rsidRDefault="00615C26" w:rsidP="00615C26">
      <w:pPr>
        <w:jc w:val="center"/>
        <w:rPr>
          <w:b/>
          <w:sz w:val="28"/>
          <w:szCs w:val="28"/>
        </w:rPr>
      </w:pPr>
      <w:r w:rsidRPr="00FA218F">
        <w:rPr>
          <w:b/>
          <w:sz w:val="28"/>
          <w:szCs w:val="28"/>
        </w:rPr>
        <w:t>Распределение количества пожаров и погибших людей по дням недели</w:t>
      </w:r>
    </w:p>
    <w:p w:rsidR="00E81BA6" w:rsidRPr="00FA218F" w:rsidRDefault="00A36ACC" w:rsidP="00E81BA6">
      <w:pPr>
        <w:jc w:val="center"/>
        <w:rPr>
          <w:color w:val="000000"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6291580" cy="3084195"/>
            <wp:effectExtent l="0" t="0" r="0" b="0"/>
            <wp:docPr id="1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0F29" w:rsidRPr="00FA218F" w:rsidRDefault="007F0F29" w:rsidP="00CC7303">
      <w:pPr>
        <w:ind w:firstLine="540"/>
        <w:jc w:val="both"/>
        <w:rPr>
          <w:color w:val="000000"/>
          <w:sz w:val="10"/>
          <w:szCs w:val="10"/>
        </w:rPr>
      </w:pPr>
    </w:p>
    <w:p w:rsidR="00A85CA9" w:rsidRPr="00FA218F" w:rsidRDefault="00443E91" w:rsidP="00A85CA9">
      <w:pPr>
        <w:ind w:firstLine="709"/>
        <w:jc w:val="both"/>
        <w:rPr>
          <w:b/>
          <w:sz w:val="28"/>
          <w:szCs w:val="28"/>
        </w:rPr>
      </w:pPr>
      <w:r w:rsidRPr="00FA218F">
        <w:rPr>
          <w:b/>
          <w:sz w:val="28"/>
          <w:szCs w:val="28"/>
        </w:rPr>
        <w:t>К</w:t>
      </w:r>
      <w:r w:rsidR="00A85CA9" w:rsidRPr="00FA218F">
        <w:rPr>
          <w:b/>
          <w:sz w:val="28"/>
          <w:szCs w:val="28"/>
        </w:rPr>
        <w:t>оличеств</w:t>
      </w:r>
      <w:r w:rsidR="00F74987" w:rsidRPr="00FA218F">
        <w:rPr>
          <w:b/>
          <w:sz w:val="28"/>
          <w:szCs w:val="28"/>
        </w:rPr>
        <w:t>о</w:t>
      </w:r>
      <w:r w:rsidR="00A85CA9" w:rsidRPr="00FA218F">
        <w:rPr>
          <w:b/>
          <w:sz w:val="28"/>
          <w:szCs w:val="28"/>
        </w:rPr>
        <w:t xml:space="preserve"> погибших людей по часам суток</w:t>
      </w:r>
      <w:r w:rsidRPr="00FA218F">
        <w:rPr>
          <w:b/>
          <w:sz w:val="28"/>
          <w:szCs w:val="28"/>
        </w:rPr>
        <w:t>, в т.ч. в нетрезвом виде</w:t>
      </w:r>
    </w:p>
    <w:p w:rsidR="00A85CA9" w:rsidRPr="00FA218F" w:rsidRDefault="00A36ACC" w:rsidP="00A85CA9">
      <w:pPr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6329680" cy="301371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23541" w:rsidRPr="00FA218F" w:rsidRDefault="00F23541" w:rsidP="00F23541">
      <w:pPr>
        <w:ind w:firstLine="709"/>
        <w:jc w:val="both"/>
        <w:rPr>
          <w:sz w:val="10"/>
          <w:szCs w:val="10"/>
        </w:rPr>
      </w:pPr>
    </w:p>
    <w:p w:rsidR="00F23541" w:rsidRPr="00FA218F" w:rsidRDefault="00E466BA" w:rsidP="00F23541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Основное время суток, когда погибали люди, это ночные  и вечерние часы. Всего же за вечернее и ночное время (с 18-ти вечера до 6 часов утра) погибли 220 человек (64,5% от общего количества), из них в нетрезвом виде 99, что составляет 29,0% от общего числа погибших.</w:t>
      </w:r>
      <w:r w:rsidR="00BC5091" w:rsidRPr="00FA218F">
        <w:rPr>
          <w:sz w:val="28"/>
          <w:szCs w:val="28"/>
        </w:rPr>
        <w:t xml:space="preserve"> </w:t>
      </w:r>
    </w:p>
    <w:p w:rsidR="000D2388" w:rsidRPr="00FA218F" w:rsidRDefault="000D2388" w:rsidP="00CC7303">
      <w:pPr>
        <w:ind w:firstLine="540"/>
        <w:jc w:val="both"/>
        <w:rPr>
          <w:color w:val="000000"/>
          <w:sz w:val="10"/>
          <w:szCs w:val="10"/>
        </w:rPr>
      </w:pPr>
    </w:p>
    <w:p w:rsidR="000D518D" w:rsidRPr="0082406C" w:rsidRDefault="000D518D" w:rsidP="000D518D">
      <w:pPr>
        <w:jc w:val="center"/>
        <w:rPr>
          <w:b/>
        </w:rPr>
      </w:pPr>
      <w:r w:rsidRPr="00FA218F">
        <w:rPr>
          <w:b/>
          <w:sz w:val="28"/>
          <w:szCs w:val="28"/>
        </w:rPr>
        <w:t xml:space="preserve">Количество пожаров и их последствий в </w:t>
      </w:r>
      <w:r>
        <w:rPr>
          <w:b/>
          <w:sz w:val="28"/>
          <w:szCs w:val="28"/>
        </w:rPr>
        <w:t>городах</w:t>
      </w:r>
    </w:p>
    <w:p w:rsidR="000D518D" w:rsidRDefault="000D518D" w:rsidP="000D518D">
      <w:pPr>
        <w:jc w:val="center"/>
      </w:pPr>
      <w:r>
        <w:rPr>
          <w:noProof/>
        </w:rPr>
        <w:drawing>
          <wp:inline distT="0" distB="0" distL="0" distR="0">
            <wp:extent cx="6265572" cy="2730321"/>
            <wp:effectExtent l="0" t="0" r="0" b="0"/>
            <wp:docPr id="10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6399C" w:rsidRPr="00FA218F" w:rsidRDefault="0036399C" w:rsidP="0036399C">
      <w:pPr>
        <w:ind w:firstLine="540"/>
        <w:jc w:val="both"/>
        <w:rPr>
          <w:color w:val="000000"/>
          <w:sz w:val="10"/>
          <w:szCs w:val="10"/>
        </w:rPr>
      </w:pP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В городах Свердловской области за истекший период зарегистрировано: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- 2907 пожаров (+0,7% к АППГ);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погибли 242 человека (-6,9%), в том числе  14 детей (-44,0%);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получили травмы 280 человек (-6,7 % );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прямой материальный ущерб причинен в размере 309,9 млн.руб. (+42,3 % ).</w:t>
      </w:r>
    </w:p>
    <w:p w:rsidR="0036399C" w:rsidRPr="00FA218F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На города пришлось 77,1 % от общего количества пожаров в области, 85,3 % материального ущерба, 71,0 % числа погибших при пожарах людей и 85,9 % травмированных.</w:t>
      </w:r>
      <w:r w:rsidR="00BC5091" w:rsidRPr="00FA218F">
        <w:rPr>
          <w:color w:val="000000"/>
          <w:sz w:val="28"/>
          <w:szCs w:val="28"/>
        </w:rPr>
        <w:t xml:space="preserve"> </w:t>
      </w:r>
    </w:p>
    <w:p w:rsidR="005A6D99" w:rsidRPr="00FA218F" w:rsidRDefault="005A6D99" w:rsidP="0036399C">
      <w:pPr>
        <w:ind w:firstLine="540"/>
        <w:jc w:val="both"/>
        <w:rPr>
          <w:color w:val="000000"/>
          <w:sz w:val="10"/>
          <w:szCs w:val="10"/>
        </w:rPr>
      </w:pPr>
    </w:p>
    <w:p w:rsidR="000D518D" w:rsidRPr="0082406C" w:rsidRDefault="000D518D" w:rsidP="000D518D">
      <w:pPr>
        <w:jc w:val="center"/>
        <w:rPr>
          <w:b/>
        </w:rPr>
      </w:pPr>
      <w:r w:rsidRPr="00FA218F">
        <w:rPr>
          <w:b/>
          <w:sz w:val="28"/>
          <w:szCs w:val="28"/>
        </w:rPr>
        <w:t xml:space="preserve">Количество пожаров и их последствий в </w:t>
      </w:r>
      <w:r>
        <w:rPr>
          <w:b/>
          <w:sz w:val="28"/>
          <w:szCs w:val="28"/>
        </w:rPr>
        <w:t>сельской местности</w:t>
      </w:r>
    </w:p>
    <w:p w:rsidR="000D518D" w:rsidRDefault="000D518D" w:rsidP="000D518D">
      <w:pPr>
        <w:jc w:val="center"/>
      </w:pPr>
      <w:r>
        <w:rPr>
          <w:noProof/>
        </w:rPr>
        <w:lastRenderedPageBreak/>
        <w:drawing>
          <wp:inline distT="0" distB="0" distL="0" distR="0">
            <wp:extent cx="6265572" cy="2730321"/>
            <wp:effectExtent l="0" t="0" r="0" b="0"/>
            <wp:docPr id="12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6399C" w:rsidRPr="00FA218F" w:rsidRDefault="0036399C" w:rsidP="0036399C">
      <w:pPr>
        <w:ind w:firstLine="540"/>
        <w:jc w:val="both"/>
        <w:rPr>
          <w:color w:val="000000"/>
          <w:sz w:val="16"/>
          <w:szCs w:val="16"/>
        </w:rPr>
      </w:pP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В сельской местности  Свердловской области за истекший период зарегистрировано: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- 865 пожаров (-13,5% к АППГ);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погибли 99 человек (+6,5%), в том числе  10 детей (+233,3%);</w:t>
      </w:r>
    </w:p>
    <w:p w:rsidR="00E466BA" w:rsidRPr="00E466BA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E466BA">
        <w:rPr>
          <w:color w:val="000000"/>
          <w:sz w:val="28"/>
          <w:szCs w:val="28"/>
        </w:rPr>
        <w:t>- получили травмы 46 человек (-9,8 % );</w:t>
      </w:r>
    </w:p>
    <w:p w:rsidR="00E466BA" w:rsidRPr="00E466BA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E466BA">
        <w:rPr>
          <w:color w:val="000000"/>
          <w:sz w:val="28"/>
          <w:szCs w:val="28"/>
        </w:rPr>
        <w:t>- прямой материальный ущерб причинен в размере 53,6 млн.руб. (-21,3 % ).</w:t>
      </w:r>
    </w:p>
    <w:p w:rsidR="0036399C" w:rsidRPr="00FA218F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На сельскую местность пришлось 22,9 % от общего количества пожаров в области, 14,7 % материального ущерба, 29,0 % числа погибших при пожарах людей и 14,1 % травмированных.</w:t>
      </w:r>
      <w:r w:rsidR="00BC5091" w:rsidRPr="00FA218F">
        <w:rPr>
          <w:color w:val="000000"/>
          <w:sz w:val="28"/>
          <w:szCs w:val="28"/>
        </w:rPr>
        <w:t xml:space="preserve"> </w:t>
      </w:r>
    </w:p>
    <w:p w:rsidR="009B3B13" w:rsidRPr="00FA218F" w:rsidRDefault="00E466BA" w:rsidP="009B3B13">
      <w:pPr>
        <w:ind w:firstLine="720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На предприятиях, охраняемых подразделениями ФПС МЧС России пожаров не зарегистрировано</w:t>
      </w:r>
      <w:r w:rsidR="00BC5091" w:rsidRPr="00FA218F">
        <w:rPr>
          <w:color w:val="000000"/>
          <w:sz w:val="28"/>
          <w:szCs w:val="28"/>
        </w:rPr>
        <w:t xml:space="preserve"> </w:t>
      </w:r>
    </w:p>
    <w:p w:rsidR="00CC7303" w:rsidRPr="00FA218F" w:rsidRDefault="009B3B13" w:rsidP="00FF11A8">
      <w:pPr>
        <w:jc w:val="both"/>
        <w:rPr>
          <w:color w:val="000000"/>
          <w:sz w:val="16"/>
          <w:szCs w:val="16"/>
        </w:rPr>
      </w:pPr>
      <w:r w:rsidRPr="00FA218F">
        <w:rPr>
          <w:color w:val="000000"/>
          <w:sz w:val="16"/>
          <w:szCs w:val="16"/>
        </w:rPr>
        <w:tab/>
      </w:r>
    </w:p>
    <w:p w:rsidR="007D1936" w:rsidRPr="00FA218F" w:rsidRDefault="007D1936" w:rsidP="007D1936">
      <w:pPr>
        <w:jc w:val="center"/>
        <w:rPr>
          <w:b/>
          <w:sz w:val="28"/>
          <w:szCs w:val="28"/>
        </w:rPr>
      </w:pPr>
      <w:r w:rsidRPr="00FA218F">
        <w:rPr>
          <w:b/>
          <w:sz w:val="28"/>
          <w:szCs w:val="28"/>
        </w:rPr>
        <w:t>Распределение количества пожаров по основным объектам</w:t>
      </w:r>
    </w:p>
    <w:p w:rsidR="007D1936" w:rsidRDefault="007D1936" w:rsidP="007D1936">
      <w:pPr>
        <w:jc w:val="center"/>
        <w:rPr>
          <w:color w:val="000000"/>
        </w:rPr>
      </w:pPr>
      <w:r w:rsidRPr="00CC7515">
        <w:rPr>
          <w:noProof/>
          <w:color w:val="000000"/>
        </w:rPr>
        <w:drawing>
          <wp:inline distT="0" distB="0" distL="0" distR="0">
            <wp:extent cx="6304476" cy="2871989"/>
            <wp:effectExtent l="19050" t="0" r="1074" b="0"/>
            <wp:docPr id="1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64CB" w:rsidRPr="00FA218F" w:rsidRDefault="00BB64CB" w:rsidP="00BB64CB">
      <w:pPr>
        <w:ind w:firstLine="709"/>
        <w:jc w:val="both"/>
        <w:rPr>
          <w:color w:val="000000"/>
          <w:sz w:val="16"/>
          <w:szCs w:val="16"/>
        </w:rPr>
      </w:pPr>
    </w:p>
    <w:p w:rsidR="00BB64CB" w:rsidRPr="00FA218F" w:rsidRDefault="00E466BA" w:rsidP="00BB64CB">
      <w:pPr>
        <w:ind w:firstLine="709"/>
        <w:jc w:val="both"/>
        <w:rPr>
          <w:color w:val="000000"/>
          <w:sz w:val="28"/>
          <w:szCs w:val="28"/>
        </w:rPr>
      </w:pPr>
      <w:r w:rsidRPr="00E466BA">
        <w:rPr>
          <w:color w:val="000000"/>
          <w:sz w:val="28"/>
          <w:szCs w:val="28"/>
        </w:rPr>
        <w:t>Наибольшее количество пожаров зарегистрировано в жилом секторе. Их доля от общего числа пожаров по области составила 70,5 %. Гибель людей при пожарах в жилом секторе, от общего количества по области, составила 94,7 %, людей получивших травмы – 85,3 %.</w:t>
      </w:r>
      <w:r w:rsidR="00BC5091" w:rsidRPr="00FA218F">
        <w:rPr>
          <w:color w:val="000000"/>
          <w:sz w:val="28"/>
          <w:szCs w:val="28"/>
        </w:rPr>
        <w:t xml:space="preserve"> 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lastRenderedPageBreak/>
        <w:t xml:space="preserve">По сравнению с АППГ снижение количества пожаров зарегистрировано на следующих основных видах объектов: 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в производственных зданиях  (-5,6%);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в складских зданиях  (-45,5%);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в зданиях общественного назначения (-16,3%);</w:t>
      </w:r>
    </w:p>
    <w:p w:rsidR="00BC5091" w:rsidRPr="00FA218F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в жилом секторе  (-4,7%).</w:t>
      </w:r>
      <w:r w:rsidR="00BC5091" w:rsidRPr="00FA218F">
        <w:rPr>
          <w:color w:val="000000"/>
          <w:sz w:val="28"/>
          <w:szCs w:val="28"/>
        </w:rPr>
        <w:t xml:space="preserve"> 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 xml:space="preserve">По сравнению с АППГ увеличение количества пожаров зарегистрировано на следующих основных видах объектов: 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на строящихся объектах  (+33,3%);</w:t>
      </w:r>
    </w:p>
    <w:p w:rsidR="00E466BA" w:rsidRPr="00D63F9C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на транспорте  (+8,9%);</w:t>
      </w:r>
    </w:p>
    <w:p w:rsidR="00CC7303" w:rsidRPr="00FA218F" w:rsidRDefault="00E466BA" w:rsidP="00FA218F">
      <w:pPr>
        <w:ind w:firstLine="709"/>
        <w:jc w:val="both"/>
        <w:rPr>
          <w:color w:val="000000"/>
          <w:sz w:val="28"/>
          <w:szCs w:val="28"/>
        </w:rPr>
      </w:pPr>
      <w:r w:rsidRPr="00D63F9C">
        <w:rPr>
          <w:color w:val="000000"/>
          <w:sz w:val="28"/>
          <w:szCs w:val="28"/>
        </w:rPr>
        <w:t>- на прочих объектах  (+0,9%).</w:t>
      </w:r>
      <w:r w:rsidR="00BC5091" w:rsidRPr="00FA218F">
        <w:rPr>
          <w:color w:val="000000"/>
          <w:sz w:val="28"/>
          <w:szCs w:val="28"/>
        </w:rPr>
        <w:t xml:space="preserve"> </w:t>
      </w:r>
    </w:p>
    <w:p w:rsidR="00E466BA" w:rsidRPr="00D63F9C" w:rsidRDefault="00E466BA" w:rsidP="00CC7303">
      <w:pPr>
        <w:ind w:firstLine="720"/>
        <w:jc w:val="both"/>
        <w:rPr>
          <w:sz w:val="28"/>
          <w:szCs w:val="28"/>
        </w:rPr>
      </w:pPr>
      <w:r w:rsidRPr="00D63F9C">
        <w:rPr>
          <w:sz w:val="28"/>
          <w:szCs w:val="28"/>
        </w:rPr>
        <w:t>Чаще всего пожары происходили  в подсобных помещениях (2,89%),  на верандах (5,99%),  в саунах (7,61%),  в пристройках к зданиям (4,14%),  в жилых комнатах (25,42%),  на кухнях (4,85%),  на чердаках зданий (2,47%),  в прочих помещениях (9,84%),  в салонах (9,41%),  в отсеках двигателей (8,54%) .</w:t>
      </w:r>
    </w:p>
    <w:p w:rsidR="00E466BA" w:rsidRDefault="00E466BA" w:rsidP="00CC7303">
      <w:pPr>
        <w:ind w:firstLine="720"/>
        <w:jc w:val="both"/>
        <w:rPr>
          <w:sz w:val="28"/>
          <w:szCs w:val="28"/>
          <w:lang w:val="en-US"/>
        </w:rPr>
      </w:pPr>
      <w:r w:rsidRPr="00D63F9C">
        <w:rPr>
          <w:sz w:val="28"/>
          <w:szCs w:val="28"/>
        </w:rPr>
        <w:t xml:space="preserve">Наибольшее количество тел погибших людей было обнаружено  на веранде (10,26%),  в сауне (2,05%),  в пристройке к зданию </w:t>
      </w:r>
      <w:r>
        <w:rPr>
          <w:sz w:val="28"/>
          <w:szCs w:val="28"/>
          <w:lang w:val="en-US"/>
        </w:rPr>
        <w:t>(3,52%),  в жилой комнате (61,88%),  на кухне (7,04%),  в прочих помещениях (3,23%) .</w:t>
      </w:r>
    </w:p>
    <w:p w:rsidR="00E466BA" w:rsidRPr="00D63F9C" w:rsidRDefault="00E466BA" w:rsidP="00CC7303">
      <w:pPr>
        <w:ind w:firstLine="720"/>
        <w:jc w:val="both"/>
        <w:rPr>
          <w:sz w:val="28"/>
          <w:szCs w:val="28"/>
        </w:rPr>
      </w:pPr>
      <w:r w:rsidRPr="00D63F9C">
        <w:rPr>
          <w:sz w:val="28"/>
          <w:szCs w:val="28"/>
        </w:rPr>
        <w:t>По сравнению с аналогичным периодом прошлого года зарегистрирован рост количества пожаров  в раздевалках (+120,0%),  в цехах (+20,0%),  в гаражах (+8,2%),  на балконах (+38,7%),  в жилых комнатах (+1,9%),  в коридорах (+5,7%),  на кухнях (+9,6%), вэлектрощитовых (+66,7%),  на лестничных клетках (+3,3%),  в подвальных помещениях (+100,0%),  на чердаках зданий (+17,7%),  в служебных помещениях (+14,3%),  в буфетах (увел.),  в торговых залах (+8,3%),  в залах ЭВМ (увел.),  в кабельных тоннелях (увел.),  на эстакадах (увел.),  в лифтах (+50,0%),  на территориях, прилегающих к зданиям (+10,0%),  в кабинах водителя (+35,0%),  в салонах (+15,6%),  внутри грузовых вагонов (увел.),  в отсеках двигателей (+7,3%),  в резервуарах (увел.),  в местах на открытых территориях (+20,0%) .</w:t>
      </w:r>
    </w:p>
    <w:p w:rsidR="00E466BA" w:rsidRPr="00D63F9C" w:rsidRDefault="00E466BA" w:rsidP="00CC7303">
      <w:pPr>
        <w:ind w:firstLine="720"/>
        <w:jc w:val="both"/>
        <w:rPr>
          <w:sz w:val="28"/>
          <w:szCs w:val="28"/>
        </w:rPr>
      </w:pPr>
      <w:r w:rsidRPr="00D63F9C">
        <w:rPr>
          <w:sz w:val="28"/>
          <w:szCs w:val="28"/>
        </w:rPr>
        <w:t>Рост погибших отмечен  в цехе (увел.),  на веранде (+2,9%),  в сауне (+16,7%),  в пристройке к зданию (+33,3%),  на балконе (увел.),  в жилой комнате (+3,4%),  в туалете (увел.),  в подвальном помещении (увел.),  на прочем месте вне здания (+100,0%),  в салоне (+50,0%) .</w:t>
      </w:r>
    </w:p>
    <w:p w:rsidR="008228A3" w:rsidRPr="00FA218F" w:rsidRDefault="00BC5091" w:rsidP="007D1936">
      <w:pPr>
        <w:ind w:firstLine="720"/>
        <w:jc w:val="both"/>
        <w:rPr>
          <w:b/>
          <w:sz w:val="10"/>
          <w:szCs w:val="10"/>
        </w:rPr>
      </w:pPr>
      <w:r w:rsidRPr="00FA218F">
        <w:rPr>
          <w:sz w:val="28"/>
          <w:szCs w:val="28"/>
        </w:rPr>
        <w:t xml:space="preserve"> </w:t>
      </w:r>
    </w:p>
    <w:p w:rsidR="00BA4A39" w:rsidRPr="00FA218F" w:rsidRDefault="00BA4A39" w:rsidP="00BA4A39">
      <w:pPr>
        <w:jc w:val="center"/>
        <w:rPr>
          <w:b/>
          <w:sz w:val="28"/>
          <w:szCs w:val="28"/>
        </w:rPr>
      </w:pPr>
      <w:r w:rsidRPr="00FA218F">
        <w:rPr>
          <w:b/>
          <w:sz w:val="28"/>
          <w:szCs w:val="28"/>
        </w:rPr>
        <w:t>Распределение количества пожаров по основным причинам</w:t>
      </w:r>
    </w:p>
    <w:p w:rsidR="00BA4A39" w:rsidRPr="00145316" w:rsidRDefault="00BA4A39" w:rsidP="00BA4A39">
      <w:pPr>
        <w:jc w:val="center"/>
      </w:pPr>
      <w:r w:rsidRPr="00893BB1">
        <w:rPr>
          <w:noProof/>
        </w:rPr>
        <w:lastRenderedPageBreak/>
        <w:drawing>
          <wp:inline distT="0" distB="0" distL="0" distR="0">
            <wp:extent cx="6008263" cy="3129566"/>
            <wp:effectExtent l="19050" t="0" r="0" b="0"/>
            <wp:docPr id="14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228A3" w:rsidRPr="00FA218F" w:rsidRDefault="008228A3" w:rsidP="00CC7303">
      <w:pPr>
        <w:ind w:firstLine="540"/>
        <w:jc w:val="both"/>
        <w:rPr>
          <w:sz w:val="10"/>
          <w:szCs w:val="10"/>
        </w:rPr>
      </w:pPr>
    </w:p>
    <w:p w:rsidR="00E466BA" w:rsidRPr="00D63F9C" w:rsidRDefault="00E466BA" w:rsidP="00FB30DB">
      <w:pPr>
        <w:ind w:firstLine="720"/>
        <w:jc w:val="both"/>
        <w:rPr>
          <w:sz w:val="28"/>
          <w:szCs w:val="28"/>
        </w:rPr>
      </w:pPr>
      <w:r w:rsidRPr="00D63F9C">
        <w:rPr>
          <w:sz w:val="28"/>
          <w:szCs w:val="28"/>
        </w:rPr>
        <w:t>За 12 месяцев 2014 года  от неосторожного обращения с огнем произошло 25,2 % (в 2013 г. - 29,6 %) от общего количества пожаров, при которых погибли 211 человек (61,9 % от общего количества, в 2013 г. - 68,6 %) и 201 человек получили травмы (61,7 % от общего количества, в 2013 г. - 53,6 %).</w:t>
      </w:r>
    </w:p>
    <w:p w:rsidR="00FB30DB" w:rsidRPr="00D63F9C" w:rsidRDefault="00E466BA" w:rsidP="00FB30DB">
      <w:pPr>
        <w:ind w:firstLine="720"/>
        <w:jc w:val="both"/>
        <w:rPr>
          <w:sz w:val="28"/>
          <w:szCs w:val="28"/>
        </w:rPr>
      </w:pPr>
      <w:r w:rsidRPr="00D63F9C">
        <w:rPr>
          <w:sz w:val="28"/>
          <w:szCs w:val="28"/>
        </w:rPr>
        <w:t>Значительное количество пожаров произошло по причинам нарушений правил устройства и эксплуатации электрооборудования (28,4 % от общего количества) и нарушений правил эксплуатации печного отопления (15,3 % от общего количества).</w:t>
      </w:r>
      <w:r w:rsidR="00707789" w:rsidRPr="00D63F9C">
        <w:rPr>
          <w:sz w:val="28"/>
          <w:szCs w:val="28"/>
        </w:rPr>
        <w:t xml:space="preserve"> </w:t>
      </w:r>
    </w:p>
    <w:p w:rsidR="00E466BA" w:rsidRPr="00D63F9C" w:rsidRDefault="00E466BA" w:rsidP="00FA218F">
      <w:pPr>
        <w:ind w:firstLine="709"/>
        <w:jc w:val="both"/>
        <w:rPr>
          <w:sz w:val="28"/>
          <w:szCs w:val="28"/>
        </w:rPr>
      </w:pPr>
      <w:r w:rsidRPr="00D63F9C">
        <w:rPr>
          <w:sz w:val="28"/>
          <w:szCs w:val="28"/>
        </w:rPr>
        <w:t xml:space="preserve">Зарегистрирован рост количества пожаров по следующим основным причинам их возникновения: </w:t>
      </w:r>
    </w:p>
    <w:p w:rsidR="00E466BA" w:rsidRPr="00D63F9C" w:rsidRDefault="00E466BA" w:rsidP="00FA218F">
      <w:pPr>
        <w:ind w:firstLine="709"/>
        <w:jc w:val="both"/>
        <w:rPr>
          <w:sz w:val="28"/>
          <w:szCs w:val="28"/>
        </w:rPr>
      </w:pPr>
      <w:r w:rsidRPr="00D63F9C">
        <w:rPr>
          <w:sz w:val="28"/>
          <w:szCs w:val="28"/>
        </w:rPr>
        <w:t>- поджоги  (+14,6%);</w:t>
      </w:r>
    </w:p>
    <w:p w:rsidR="00E466BA" w:rsidRPr="00D63F9C" w:rsidRDefault="00E466BA" w:rsidP="00FA218F">
      <w:pPr>
        <w:ind w:firstLine="709"/>
        <w:jc w:val="both"/>
        <w:rPr>
          <w:sz w:val="28"/>
          <w:szCs w:val="28"/>
        </w:rPr>
      </w:pPr>
      <w:r w:rsidRPr="00D63F9C">
        <w:rPr>
          <w:sz w:val="28"/>
          <w:szCs w:val="28"/>
        </w:rPr>
        <w:t>- неисправность производственного оборудования  (+15,0%);</w:t>
      </w:r>
    </w:p>
    <w:p w:rsidR="00E466BA" w:rsidRPr="00D63F9C" w:rsidRDefault="00E466BA" w:rsidP="00FA218F">
      <w:pPr>
        <w:ind w:firstLine="709"/>
        <w:jc w:val="both"/>
        <w:rPr>
          <w:sz w:val="28"/>
          <w:szCs w:val="28"/>
        </w:rPr>
      </w:pPr>
      <w:r w:rsidRPr="00D63F9C">
        <w:rPr>
          <w:sz w:val="28"/>
          <w:szCs w:val="28"/>
        </w:rPr>
        <w:t>- нарушения ПУиЭ электрооборудования (+1,8%);</w:t>
      </w:r>
    </w:p>
    <w:p w:rsidR="00E466BA" w:rsidRPr="00D63F9C" w:rsidRDefault="00E466BA" w:rsidP="00FA218F">
      <w:pPr>
        <w:ind w:firstLine="709"/>
        <w:jc w:val="both"/>
        <w:rPr>
          <w:sz w:val="28"/>
          <w:szCs w:val="28"/>
        </w:rPr>
      </w:pPr>
      <w:r w:rsidRPr="00D63F9C">
        <w:rPr>
          <w:sz w:val="28"/>
          <w:szCs w:val="28"/>
        </w:rPr>
        <w:t>- нарушения ПУиЭ печного отопления (+6,4%);</w:t>
      </w:r>
    </w:p>
    <w:p w:rsidR="00E466BA" w:rsidRPr="00D63F9C" w:rsidRDefault="00E466BA" w:rsidP="00FA218F">
      <w:pPr>
        <w:ind w:firstLine="709"/>
        <w:jc w:val="both"/>
        <w:rPr>
          <w:sz w:val="28"/>
          <w:szCs w:val="28"/>
        </w:rPr>
      </w:pPr>
      <w:r w:rsidRPr="00D63F9C">
        <w:rPr>
          <w:sz w:val="28"/>
          <w:szCs w:val="28"/>
        </w:rPr>
        <w:t>- нарушения ППБ при проведении электрогазосварочных и огневых работ (+3,4%);</w:t>
      </w:r>
    </w:p>
    <w:p w:rsidR="00E466BA" w:rsidRPr="00D63F9C" w:rsidRDefault="00E466BA" w:rsidP="00FA218F">
      <w:pPr>
        <w:ind w:firstLine="709"/>
        <w:jc w:val="both"/>
        <w:rPr>
          <w:sz w:val="28"/>
          <w:szCs w:val="28"/>
        </w:rPr>
      </w:pPr>
      <w:r w:rsidRPr="00D63F9C">
        <w:rPr>
          <w:sz w:val="28"/>
          <w:szCs w:val="28"/>
        </w:rPr>
        <w:t>- нарушения ПУиЭ теплогененрирующих установок  (+4,3%);</w:t>
      </w:r>
    </w:p>
    <w:p w:rsidR="00E466BA" w:rsidRPr="00D63F9C" w:rsidRDefault="00E466BA" w:rsidP="00FA218F">
      <w:pPr>
        <w:ind w:firstLine="709"/>
        <w:jc w:val="both"/>
        <w:rPr>
          <w:sz w:val="28"/>
          <w:szCs w:val="28"/>
        </w:rPr>
      </w:pPr>
      <w:r w:rsidRPr="00D63F9C">
        <w:rPr>
          <w:sz w:val="28"/>
          <w:szCs w:val="28"/>
        </w:rPr>
        <w:t>- нарушения ПУиЭ транспорта  (+4,1%);</w:t>
      </w:r>
    </w:p>
    <w:p w:rsidR="00E466BA" w:rsidRDefault="00E466BA" w:rsidP="00FA218F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 неустановленные причины  (+12,0%);</w:t>
      </w:r>
    </w:p>
    <w:p w:rsidR="00032DBB" w:rsidRPr="00E466BA" w:rsidRDefault="00032DBB" w:rsidP="00FA218F">
      <w:pPr>
        <w:ind w:firstLine="709"/>
        <w:jc w:val="both"/>
        <w:rPr>
          <w:sz w:val="28"/>
          <w:szCs w:val="28"/>
        </w:rPr>
      </w:pPr>
      <w:r w:rsidRPr="00FA218F">
        <w:rPr>
          <w:sz w:val="28"/>
          <w:szCs w:val="28"/>
        </w:rPr>
        <w:t xml:space="preserve"> </w:t>
      </w:r>
    </w:p>
    <w:p w:rsidR="00E466BA" w:rsidRPr="00E466BA" w:rsidRDefault="00E466BA" w:rsidP="00FA218F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Зарегистрировано снижение количества пожаров по следующим основным причинам их возникновения: </w:t>
      </w:r>
    </w:p>
    <w:p w:rsidR="00E466BA" w:rsidRPr="00E466BA" w:rsidRDefault="00E466BA" w:rsidP="00FA218F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- неосторожное обращение с огнем  (-17,1%);</w:t>
      </w:r>
    </w:p>
    <w:p w:rsidR="00E466BA" w:rsidRPr="00E466BA" w:rsidRDefault="00E466BA" w:rsidP="00FA218F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- шалость детей с огнем  (-20,8%);</w:t>
      </w:r>
    </w:p>
    <w:p w:rsidR="00E466BA" w:rsidRDefault="00E466BA" w:rsidP="00FA218F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 по прочим причинам  (-44,4%);</w:t>
      </w:r>
    </w:p>
    <w:p w:rsidR="00025F64" w:rsidRPr="00FA218F" w:rsidRDefault="00032DBB" w:rsidP="00FA218F">
      <w:pPr>
        <w:ind w:firstLine="709"/>
        <w:jc w:val="both"/>
        <w:rPr>
          <w:sz w:val="28"/>
          <w:szCs w:val="28"/>
        </w:rPr>
      </w:pPr>
      <w:r w:rsidRPr="00FA218F">
        <w:rPr>
          <w:sz w:val="28"/>
          <w:szCs w:val="28"/>
        </w:rPr>
        <w:t xml:space="preserve"> </w:t>
      </w:r>
    </w:p>
    <w:p w:rsidR="0010749A" w:rsidRPr="00FA218F" w:rsidRDefault="00635FD3" w:rsidP="007D16E1">
      <w:pPr>
        <w:jc w:val="center"/>
        <w:rPr>
          <w:b/>
          <w:sz w:val="28"/>
          <w:szCs w:val="28"/>
        </w:rPr>
      </w:pPr>
      <w:r w:rsidRPr="00FA218F">
        <w:rPr>
          <w:b/>
          <w:sz w:val="28"/>
          <w:szCs w:val="28"/>
        </w:rPr>
        <w:t>Основные п</w:t>
      </w:r>
      <w:r w:rsidR="009B3B13" w:rsidRPr="00FA218F">
        <w:rPr>
          <w:b/>
          <w:sz w:val="28"/>
          <w:szCs w:val="28"/>
        </w:rPr>
        <w:t>ричины гибели</w:t>
      </w:r>
      <w:r w:rsidR="007D16E1" w:rsidRPr="00FA218F">
        <w:rPr>
          <w:b/>
          <w:sz w:val="28"/>
          <w:szCs w:val="28"/>
        </w:rPr>
        <w:t xml:space="preserve"> людей при пожарах</w:t>
      </w:r>
    </w:p>
    <w:p w:rsidR="00C801CC" w:rsidRPr="00FA218F" w:rsidRDefault="00A36ACC" w:rsidP="005878EA">
      <w:pPr>
        <w:spacing w:line="360" w:lineRule="auto"/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6407150" cy="3148965"/>
            <wp:effectExtent l="0" t="0" r="0" b="0"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D0D77" w:rsidRPr="00FA218F" w:rsidRDefault="007D0D77" w:rsidP="00AF0F9B">
      <w:pPr>
        <w:ind w:firstLine="709"/>
        <w:jc w:val="both"/>
        <w:rPr>
          <w:sz w:val="10"/>
          <w:szCs w:val="10"/>
        </w:rPr>
      </w:pPr>
    </w:p>
    <w:p w:rsidR="00AF0F9B" w:rsidRPr="00FA218F" w:rsidRDefault="00E466BA" w:rsidP="00AF0F9B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Вследствие воздействия продуктов горения погибли 256 человек (75,1 % от общего количества), от воздействия высокой температуры - 48 человек (14,1 %). Прочие причины гибели людей - 33 человека (9,7 % от общего количества). </w:t>
      </w:r>
      <w:r w:rsidR="00032DBB" w:rsidRPr="00FA218F">
        <w:rPr>
          <w:sz w:val="28"/>
          <w:szCs w:val="28"/>
        </w:rPr>
        <w:t xml:space="preserve"> </w:t>
      </w:r>
    </w:p>
    <w:p w:rsidR="00E466BA" w:rsidRPr="00E466BA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Зарегистрировано снижение количества гибели людей, по сравнению с АППГ, по следующим причинам: </w:t>
      </w:r>
    </w:p>
    <w:p w:rsidR="00E466BA" w:rsidRPr="00E466BA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- отравление продуктами горения  (-5,9%);</w:t>
      </w:r>
    </w:p>
    <w:p w:rsidR="00E466BA" w:rsidRPr="00E466BA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- по прочим причинам  (-19,5%).</w:t>
      </w:r>
    </w:p>
    <w:p w:rsidR="00032DBB" w:rsidRPr="00E466BA" w:rsidRDefault="00032DBB" w:rsidP="00DF0584">
      <w:pPr>
        <w:ind w:firstLine="709"/>
        <w:jc w:val="both"/>
        <w:rPr>
          <w:sz w:val="28"/>
          <w:szCs w:val="28"/>
        </w:rPr>
      </w:pPr>
    </w:p>
    <w:p w:rsidR="00E466BA" w:rsidRPr="00E466BA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Отмечается рост гибели людей, по сравнению с АППГ, по следующим причинам: </w:t>
      </w:r>
    </w:p>
    <w:p w:rsidR="00E466BA" w:rsidRPr="00E466BA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- воздействие высокой температуры  (+29,7%);</w:t>
      </w:r>
    </w:p>
    <w:p w:rsidR="00BA4A39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- паника  (увел.)</w:t>
      </w:r>
    </w:p>
    <w:p w:rsidR="00032DBB" w:rsidRPr="00FA218F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.</w:t>
      </w:r>
    </w:p>
    <w:p w:rsidR="00E466BA" w:rsidRPr="00E466BA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При пожарах погиб 101 пенсионер (29,6 % от общего количества), </w:t>
      </w:r>
    </w:p>
    <w:p w:rsidR="00E466BA" w:rsidRPr="00E466BA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- трудоспособного населения  - 67 человек (19,6 %), </w:t>
      </w:r>
    </w:p>
    <w:p w:rsidR="00E466BA" w:rsidRPr="00E466BA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- безработных  - 74 человека (21,7 %), </w:t>
      </w:r>
    </w:p>
    <w:p w:rsidR="00E466BA" w:rsidRPr="00E466BA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- нетрудоспособных иждивенцев (инвалидов) - 16 человек (4,7 %), </w:t>
      </w:r>
    </w:p>
    <w:p w:rsidR="00E466BA" w:rsidRPr="00E466BA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- лиц без определенного места жительства (БОМЖ) - 12 человек (3,5 %), </w:t>
      </w:r>
    </w:p>
    <w:p w:rsidR="00E466BA" w:rsidRPr="00E466BA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- социальное положение не установлено - 49 человек (14,4 %). </w:t>
      </w:r>
    </w:p>
    <w:p w:rsidR="00DF0584" w:rsidRPr="00FA218F" w:rsidRDefault="00032DBB" w:rsidP="00DF0584">
      <w:pPr>
        <w:ind w:firstLine="709"/>
        <w:jc w:val="both"/>
        <w:rPr>
          <w:sz w:val="28"/>
          <w:szCs w:val="28"/>
        </w:rPr>
      </w:pPr>
      <w:r w:rsidRPr="00FA218F">
        <w:rPr>
          <w:sz w:val="28"/>
          <w:szCs w:val="28"/>
        </w:rPr>
        <w:t xml:space="preserve"> </w:t>
      </w:r>
    </w:p>
    <w:p w:rsidR="00DF0584" w:rsidRPr="00FA218F" w:rsidRDefault="00E466BA" w:rsidP="00DF0584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Детей школьного возраста погибло 5 человек (1,5 % от общего количества), дошкольников  - 17 человек (5,0 %). </w:t>
      </w:r>
      <w:r w:rsidR="00032DBB" w:rsidRPr="00FA218F">
        <w:rPr>
          <w:sz w:val="28"/>
          <w:szCs w:val="28"/>
        </w:rPr>
        <w:t xml:space="preserve"> </w:t>
      </w:r>
    </w:p>
    <w:p w:rsidR="00240017" w:rsidRPr="00FA218F" w:rsidRDefault="00E466BA" w:rsidP="00240017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За исследуемый перио</w:t>
      </w:r>
      <w:r w:rsidR="00BA4A39">
        <w:rPr>
          <w:sz w:val="28"/>
          <w:szCs w:val="28"/>
        </w:rPr>
        <w:t>д текущего года зарегистрирован</w:t>
      </w:r>
      <w:r w:rsidRPr="00E466BA">
        <w:rPr>
          <w:sz w:val="28"/>
          <w:szCs w:val="28"/>
        </w:rPr>
        <w:t xml:space="preserve"> 1 пожар с групповой гибелью людей (пять и более человек), при котор</w:t>
      </w:r>
      <w:r w:rsidR="00BA4A39">
        <w:rPr>
          <w:sz w:val="28"/>
          <w:szCs w:val="28"/>
        </w:rPr>
        <w:t>ом</w:t>
      </w:r>
      <w:r w:rsidRPr="00E466BA">
        <w:rPr>
          <w:sz w:val="28"/>
          <w:szCs w:val="28"/>
        </w:rPr>
        <w:t xml:space="preserve"> погибл</w:t>
      </w:r>
      <w:r w:rsidR="00BA4A39">
        <w:rPr>
          <w:sz w:val="28"/>
          <w:szCs w:val="28"/>
        </w:rPr>
        <w:t>и 6 человек</w:t>
      </w:r>
      <w:r w:rsidRPr="00E466BA">
        <w:rPr>
          <w:sz w:val="28"/>
          <w:szCs w:val="28"/>
        </w:rPr>
        <w:t>.</w:t>
      </w:r>
      <w:r w:rsidR="00032DBB" w:rsidRPr="00FA218F">
        <w:rPr>
          <w:sz w:val="28"/>
          <w:szCs w:val="28"/>
        </w:rPr>
        <w:t xml:space="preserve"> </w:t>
      </w:r>
    </w:p>
    <w:p w:rsidR="00E466BA" w:rsidRPr="00E466BA" w:rsidRDefault="00E466BA" w:rsidP="004D5861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Относительные показатели, характеризующие оперативную обстановку с пожарами за исследуемый период в Свердловской области следующие:</w:t>
      </w:r>
    </w:p>
    <w:p w:rsidR="00E466BA" w:rsidRPr="00E466BA" w:rsidRDefault="00E466BA" w:rsidP="004D5861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- количество пожаров, приходящихся на 100 тыс. населения 87,30 (за АППГ – 89,99);</w:t>
      </w:r>
    </w:p>
    <w:p w:rsidR="00E466BA" w:rsidRPr="00E466BA" w:rsidRDefault="00E466BA" w:rsidP="004D5861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 xml:space="preserve">- средний ущерб, приходящийся на один пожар, - 96,36 тыс. руб. (73,53); </w:t>
      </w:r>
    </w:p>
    <w:p w:rsidR="00E466BA" w:rsidRPr="00E466BA" w:rsidRDefault="00E466BA" w:rsidP="004D5861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lastRenderedPageBreak/>
        <w:t xml:space="preserve">- количество погибших при пожарах людей на 100 тыс. населения – 7,89 (8,17); </w:t>
      </w:r>
    </w:p>
    <w:p w:rsidR="004D5861" w:rsidRPr="00FA218F" w:rsidRDefault="00E466BA" w:rsidP="004D5861">
      <w:pPr>
        <w:ind w:firstLine="720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- количество травмированных при пожарах людей на 100 тыс. населения – 7,55 (8,12).</w:t>
      </w:r>
      <w:r w:rsidR="00032DBB" w:rsidRPr="00FA218F">
        <w:rPr>
          <w:sz w:val="28"/>
          <w:szCs w:val="28"/>
        </w:rPr>
        <w:t xml:space="preserve"> </w:t>
      </w:r>
    </w:p>
    <w:p w:rsidR="004D5861" w:rsidRPr="00FA218F" w:rsidRDefault="00E466BA" w:rsidP="004D5861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В 25 муниципальных образованиях Свердловской области количество пожаров, приходящихся на 100 тыс. населения, превысили общеобластной показатель более чем на 50% в: Артёмовском ГО (75,1%), Артинском ГО (73,2%), Ачитском ГО (124,3%), Белоярском ГО (87,0%), ГО Верхотурский (59,7%), Гаринском ГО (154,4%), Горноуральском ГО (99,6%), Каменском ГО (145,1%), ГО Карпинск (66,9%), Волчанском ГО (145,7%), МО Красноуфимский округ (57,9%), Кушвинском ГО (87,6%), ГО Верхняя Тура (74,2%), Нижнесергинском МР (60,8%), Нижнетуринском ГО (128,3%), Новолялинском ГО (104,9%), Пышминском ГО (113,5%), ГО Дегтярск (108,1%), Сосьвинском ГО (81,6%), Слободотуринском МР (113,9%), Таборинском МР (71,2%), Талицком ГО (93,4%), Тугулымском ГО (154,5%), Шалинском ГО (83,4%), ГО Староуткинск (117,2%) .</w:t>
      </w:r>
      <w:r w:rsidR="00032DBB" w:rsidRPr="00FA218F">
        <w:rPr>
          <w:sz w:val="28"/>
          <w:szCs w:val="28"/>
        </w:rPr>
        <w:t xml:space="preserve"> </w:t>
      </w:r>
    </w:p>
    <w:p w:rsidR="006B251C" w:rsidRPr="00FA218F" w:rsidRDefault="00E466BA" w:rsidP="006B251C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В 32 муниципальных образованиях Свердловской области число погибших при пожарах людей, приходящихся на 100 тыс. населения, превысили общеобластной показатель более чем на 50% в: Махневском МО (289,1%), Артинском ГО (300,9%), Ачитском ГО (55,0%), ГО Верхнее Дуброво (414,5%), Берёзовском ГО (73,1%), ГО Среднеуральск (75,1%), Верхнесалдинском ГО (86,6%), ГО Верхотурский (130,3%), Гаринском ГО (462,9%), Горноуральском ГО (153,4%), Ирбитском МО (115,3%), Каменском ГО (196,6%), ГО Карпинск (228,1%), ГО Верхний Тагил (94,1%), МО Красноуфимский округ (136,1%), Кушвинском ГО (91,6%), Невьянском ГО (319,6%), ГО Верх-Нейвинский (1114,4%), Бисертском ГО (147,9%), Нижнетуринском ГО (180,6%), Новолялинском ГО (70,0%), ГО Дегтярск (217,5%), Сосьвинском ГО (67,4%), Слободотуринском МР (82,0%), ГО Сухой Лог (80,4%), Сысертском ГО (63,8%), Арамильском ГО (111,9%), Тавдинском ГО (149,4%), Талицком ГО (66,7%), Тугулымском ГО (439,1%), Шалинском ГО (84,4%), ГО Староуткинск (300,5%) .</w:t>
      </w:r>
      <w:r w:rsidR="00032DBB" w:rsidRPr="00FA218F">
        <w:rPr>
          <w:sz w:val="28"/>
          <w:szCs w:val="28"/>
        </w:rPr>
        <w:t xml:space="preserve"> </w:t>
      </w:r>
    </w:p>
    <w:p w:rsidR="006B251C" w:rsidRPr="00FA218F" w:rsidRDefault="00E466BA" w:rsidP="006B251C">
      <w:pPr>
        <w:ind w:firstLine="709"/>
        <w:jc w:val="both"/>
        <w:rPr>
          <w:sz w:val="28"/>
          <w:szCs w:val="28"/>
        </w:rPr>
      </w:pPr>
      <w:r w:rsidRPr="00E466BA">
        <w:rPr>
          <w:sz w:val="28"/>
          <w:szCs w:val="28"/>
        </w:rPr>
        <w:t>В 19 муниципальных образованиях Свердловской области число травмированных при пожарах людей, приходящихся на 100 тыс. населения, превысили общеобластной показатель более чем на 50% в: МО городе Алапаевске (111,0%), Артёмовском ГО (107,3%), Артинском ГО (133,0%), Малышевском ГО (143,9%), Ачитском ГО (305,4%), Белоярском ГО (131,8%), ГО Верхотурский (140,9%), Гаринском ГО (488,8%), ГО Карпинск (114,5%), ГО Краснотурьинск (86,0%), ГО Красноуральск (62,9%), ГО Красноуфимск (99,2%), ГО Верх-Нейвинский (154,0%), Нижнетуринском ГО (144,6%), Новолялинском ГО (137,1%), Североуральском ГО (179,9%), Слободотуринском МР (90,3%), Талицком ГО (132,5%), ГО Староуткинск (318,9%) .</w:t>
      </w:r>
      <w:r w:rsidR="00032DBB" w:rsidRPr="00FA218F">
        <w:rPr>
          <w:sz w:val="28"/>
          <w:szCs w:val="28"/>
        </w:rPr>
        <w:t xml:space="preserve"> </w:t>
      </w:r>
    </w:p>
    <w:p w:rsidR="00DA28F8" w:rsidRPr="00E466BA" w:rsidRDefault="00DA28F8" w:rsidP="00B75DBD">
      <w:pPr>
        <w:jc w:val="both"/>
        <w:rPr>
          <w:b/>
          <w:sz w:val="28"/>
          <w:szCs w:val="28"/>
        </w:rPr>
      </w:pPr>
    </w:p>
    <w:p w:rsidR="00DA28F8" w:rsidRPr="00E466BA" w:rsidRDefault="00DA28F8" w:rsidP="00B75DBD">
      <w:pPr>
        <w:jc w:val="both"/>
        <w:rPr>
          <w:b/>
          <w:sz w:val="28"/>
          <w:szCs w:val="28"/>
        </w:rPr>
      </w:pPr>
    </w:p>
    <w:p w:rsidR="00DA28F8" w:rsidRPr="00E466BA" w:rsidRDefault="00DA28F8" w:rsidP="00B75DBD">
      <w:pPr>
        <w:jc w:val="both"/>
        <w:rPr>
          <w:b/>
          <w:sz w:val="28"/>
          <w:szCs w:val="28"/>
        </w:rPr>
      </w:pPr>
    </w:p>
    <w:p w:rsidR="0010749A" w:rsidRDefault="00B75DBD" w:rsidP="00B75DBD">
      <w:pPr>
        <w:jc w:val="both"/>
        <w:rPr>
          <w:sz w:val="28"/>
          <w:szCs w:val="28"/>
        </w:rPr>
      </w:pPr>
      <w:r w:rsidRPr="00FA218F">
        <w:rPr>
          <w:b/>
          <w:sz w:val="28"/>
          <w:szCs w:val="28"/>
        </w:rPr>
        <w:t>Приложение:</w:t>
      </w:r>
      <w:r w:rsidRPr="00FA218F">
        <w:rPr>
          <w:sz w:val="28"/>
          <w:szCs w:val="28"/>
        </w:rPr>
        <w:t xml:space="preserve"> относительны</w:t>
      </w:r>
      <w:r w:rsidR="00CB0EA4" w:rsidRPr="00FA218F">
        <w:rPr>
          <w:sz w:val="28"/>
          <w:szCs w:val="28"/>
        </w:rPr>
        <w:t>е</w:t>
      </w:r>
      <w:r w:rsidRPr="00FA218F">
        <w:rPr>
          <w:sz w:val="28"/>
          <w:szCs w:val="28"/>
        </w:rPr>
        <w:t xml:space="preserve"> показател</w:t>
      </w:r>
      <w:r w:rsidR="00CB0EA4" w:rsidRPr="00FA218F">
        <w:rPr>
          <w:sz w:val="28"/>
          <w:szCs w:val="28"/>
        </w:rPr>
        <w:t>и</w:t>
      </w:r>
      <w:r w:rsidRPr="00FA218F">
        <w:rPr>
          <w:sz w:val="28"/>
          <w:szCs w:val="28"/>
        </w:rPr>
        <w:t xml:space="preserve"> по </w:t>
      </w:r>
      <w:r w:rsidR="00032DBB" w:rsidRPr="00FA218F">
        <w:rPr>
          <w:sz w:val="28"/>
          <w:szCs w:val="28"/>
        </w:rPr>
        <w:t>Свердловской области</w:t>
      </w:r>
      <w:r w:rsidR="00DD3F89" w:rsidRPr="00FA218F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3 л"/>
        </w:smartTagPr>
        <w:r w:rsidR="00DD3F89" w:rsidRPr="00FA218F">
          <w:rPr>
            <w:sz w:val="28"/>
            <w:szCs w:val="28"/>
          </w:rPr>
          <w:t>3 л</w:t>
        </w:r>
      </w:smartTag>
      <w:r w:rsidR="00DD3F89" w:rsidRPr="00FA218F">
        <w:rPr>
          <w:sz w:val="28"/>
          <w:szCs w:val="28"/>
        </w:rPr>
        <w:t>.</w:t>
      </w:r>
    </w:p>
    <w:p w:rsidR="00B75DBD" w:rsidRDefault="00B75DBD" w:rsidP="00CC7303">
      <w:pPr>
        <w:ind w:firstLine="540"/>
        <w:jc w:val="both"/>
        <w:rPr>
          <w:sz w:val="16"/>
          <w:szCs w:val="16"/>
        </w:rPr>
      </w:pPr>
    </w:p>
    <w:p w:rsidR="00FE6610" w:rsidRDefault="00FE6610" w:rsidP="00CC7303">
      <w:pPr>
        <w:ind w:firstLine="540"/>
        <w:jc w:val="both"/>
        <w:rPr>
          <w:sz w:val="16"/>
          <w:szCs w:val="16"/>
        </w:rPr>
      </w:pPr>
    </w:p>
    <w:p w:rsidR="00256B4F" w:rsidRDefault="00256B4F" w:rsidP="00CC7303">
      <w:pPr>
        <w:ind w:firstLine="540"/>
        <w:jc w:val="both"/>
        <w:rPr>
          <w:sz w:val="16"/>
          <w:szCs w:val="16"/>
        </w:rPr>
      </w:pPr>
    </w:p>
    <w:p w:rsidR="00256B4F" w:rsidRDefault="00256B4F" w:rsidP="00CC7303">
      <w:pPr>
        <w:ind w:firstLine="540"/>
        <w:jc w:val="both"/>
        <w:rPr>
          <w:sz w:val="16"/>
          <w:szCs w:val="16"/>
        </w:rPr>
      </w:pPr>
    </w:p>
    <w:sectPr w:rsidR="00256B4F" w:rsidSect="00BE1F04">
      <w:footerReference w:type="even" r:id="rId16"/>
      <w:footerReference w:type="default" r:id="rId17"/>
      <w:pgSz w:w="11906" w:h="16838" w:code="9"/>
      <w:pgMar w:top="851" w:right="794" w:bottom="851" w:left="907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D0C" w:rsidRDefault="00504D0C">
      <w:r>
        <w:separator/>
      </w:r>
    </w:p>
  </w:endnote>
  <w:endnote w:type="continuationSeparator" w:id="1">
    <w:p w:rsidR="00504D0C" w:rsidRDefault="00504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664" w:rsidRDefault="003E1664" w:rsidP="00BE1F04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9</w:t>
    </w:r>
    <w:r>
      <w:rPr>
        <w:rStyle w:val="a8"/>
      </w:rPr>
      <w:fldChar w:fldCharType="end"/>
    </w:r>
  </w:p>
  <w:p w:rsidR="003E1664" w:rsidRDefault="003E166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664" w:rsidRDefault="003E1664" w:rsidP="00BE1F04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4A39">
      <w:rPr>
        <w:rStyle w:val="a8"/>
        <w:noProof/>
      </w:rPr>
      <w:t>10</w:t>
    </w:r>
    <w:r>
      <w:rPr>
        <w:rStyle w:val="a8"/>
      </w:rPr>
      <w:fldChar w:fldCharType="end"/>
    </w:r>
  </w:p>
  <w:p w:rsidR="003E1664" w:rsidRDefault="003E16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D0C" w:rsidRDefault="00504D0C">
      <w:r>
        <w:separator/>
      </w:r>
    </w:p>
  </w:footnote>
  <w:footnote w:type="continuationSeparator" w:id="1">
    <w:p w:rsidR="00504D0C" w:rsidRDefault="00504D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31F5"/>
    <w:rsid w:val="00001DDA"/>
    <w:rsid w:val="000031A8"/>
    <w:rsid w:val="000037BF"/>
    <w:rsid w:val="00006AA2"/>
    <w:rsid w:val="00007F68"/>
    <w:rsid w:val="000116A0"/>
    <w:rsid w:val="000119F7"/>
    <w:rsid w:val="000123D3"/>
    <w:rsid w:val="00012BE4"/>
    <w:rsid w:val="0001332D"/>
    <w:rsid w:val="00013DB0"/>
    <w:rsid w:val="00014E28"/>
    <w:rsid w:val="00017127"/>
    <w:rsid w:val="00017EDD"/>
    <w:rsid w:val="00022112"/>
    <w:rsid w:val="0002341B"/>
    <w:rsid w:val="00024AE1"/>
    <w:rsid w:val="00025F64"/>
    <w:rsid w:val="00026AAC"/>
    <w:rsid w:val="00026F22"/>
    <w:rsid w:val="00027601"/>
    <w:rsid w:val="000302A5"/>
    <w:rsid w:val="0003126A"/>
    <w:rsid w:val="00032DBB"/>
    <w:rsid w:val="0003443F"/>
    <w:rsid w:val="00035383"/>
    <w:rsid w:val="0004068F"/>
    <w:rsid w:val="00040E13"/>
    <w:rsid w:val="0004476A"/>
    <w:rsid w:val="000448BF"/>
    <w:rsid w:val="0004655B"/>
    <w:rsid w:val="00046F11"/>
    <w:rsid w:val="0004743B"/>
    <w:rsid w:val="000474F3"/>
    <w:rsid w:val="000477C8"/>
    <w:rsid w:val="00052DE8"/>
    <w:rsid w:val="000546DD"/>
    <w:rsid w:val="0005471A"/>
    <w:rsid w:val="000570A8"/>
    <w:rsid w:val="00057B82"/>
    <w:rsid w:val="00061258"/>
    <w:rsid w:val="00061E98"/>
    <w:rsid w:val="0006245B"/>
    <w:rsid w:val="0006339E"/>
    <w:rsid w:val="000634B4"/>
    <w:rsid w:val="00063A76"/>
    <w:rsid w:val="000654AE"/>
    <w:rsid w:val="00066772"/>
    <w:rsid w:val="00067D59"/>
    <w:rsid w:val="000701D2"/>
    <w:rsid w:val="00070ED0"/>
    <w:rsid w:val="0007250C"/>
    <w:rsid w:val="00073420"/>
    <w:rsid w:val="0007391E"/>
    <w:rsid w:val="00073B36"/>
    <w:rsid w:val="00075F67"/>
    <w:rsid w:val="000763DF"/>
    <w:rsid w:val="0007724E"/>
    <w:rsid w:val="00083E7D"/>
    <w:rsid w:val="00085139"/>
    <w:rsid w:val="00086C49"/>
    <w:rsid w:val="00086D56"/>
    <w:rsid w:val="000910FC"/>
    <w:rsid w:val="000918CE"/>
    <w:rsid w:val="000949A3"/>
    <w:rsid w:val="00095F76"/>
    <w:rsid w:val="000A0CDA"/>
    <w:rsid w:val="000A13CF"/>
    <w:rsid w:val="000A1A17"/>
    <w:rsid w:val="000A2666"/>
    <w:rsid w:val="000A28D0"/>
    <w:rsid w:val="000A3131"/>
    <w:rsid w:val="000A4766"/>
    <w:rsid w:val="000A6839"/>
    <w:rsid w:val="000A726C"/>
    <w:rsid w:val="000B0587"/>
    <w:rsid w:val="000B3951"/>
    <w:rsid w:val="000B4658"/>
    <w:rsid w:val="000B49C6"/>
    <w:rsid w:val="000B4AE8"/>
    <w:rsid w:val="000B7914"/>
    <w:rsid w:val="000C0933"/>
    <w:rsid w:val="000C11A0"/>
    <w:rsid w:val="000C1260"/>
    <w:rsid w:val="000C12C3"/>
    <w:rsid w:val="000C37CA"/>
    <w:rsid w:val="000C4D16"/>
    <w:rsid w:val="000D00DF"/>
    <w:rsid w:val="000D117C"/>
    <w:rsid w:val="000D2388"/>
    <w:rsid w:val="000D4315"/>
    <w:rsid w:val="000D46F8"/>
    <w:rsid w:val="000D518D"/>
    <w:rsid w:val="000D5608"/>
    <w:rsid w:val="000D61E8"/>
    <w:rsid w:val="000E0713"/>
    <w:rsid w:val="000E117C"/>
    <w:rsid w:val="000E4CD7"/>
    <w:rsid w:val="000E685C"/>
    <w:rsid w:val="000E7325"/>
    <w:rsid w:val="000E780C"/>
    <w:rsid w:val="000F0B5B"/>
    <w:rsid w:val="000F2AE5"/>
    <w:rsid w:val="000F4B97"/>
    <w:rsid w:val="000F71E5"/>
    <w:rsid w:val="000F776F"/>
    <w:rsid w:val="0010181E"/>
    <w:rsid w:val="00103E73"/>
    <w:rsid w:val="001061FA"/>
    <w:rsid w:val="001069EC"/>
    <w:rsid w:val="0010749A"/>
    <w:rsid w:val="001100DF"/>
    <w:rsid w:val="0011159A"/>
    <w:rsid w:val="00111A01"/>
    <w:rsid w:val="00113475"/>
    <w:rsid w:val="00114553"/>
    <w:rsid w:val="00115149"/>
    <w:rsid w:val="001159A4"/>
    <w:rsid w:val="001174DF"/>
    <w:rsid w:val="0012475C"/>
    <w:rsid w:val="00127DB0"/>
    <w:rsid w:val="00127F9A"/>
    <w:rsid w:val="0013588C"/>
    <w:rsid w:val="00135C3B"/>
    <w:rsid w:val="0013634A"/>
    <w:rsid w:val="00136AB6"/>
    <w:rsid w:val="00137099"/>
    <w:rsid w:val="00143524"/>
    <w:rsid w:val="00144508"/>
    <w:rsid w:val="00144AD9"/>
    <w:rsid w:val="00144F96"/>
    <w:rsid w:val="00145DB7"/>
    <w:rsid w:val="00146FC3"/>
    <w:rsid w:val="00147064"/>
    <w:rsid w:val="001507E8"/>
    <w:rsid w:val="00150853"/>
    <w:rsid w:val="00150DD1"/>
    <w:rsid w:val="001510C7"/>
    <w:rsid w:val="001511DD"/>
    <w:rsid w:val="00151A04"/>
    <w:rsid w:val="00153F59"/>
    <w:rsid w:val="001544B6"/>
    <w:rsid w:val="0015554F"/>
    <w:rsid w:val="00156020"/>
    <w:rsid w:val="0015797E"/>
    <w:rsid w:val="00160033"/>
    <w:rsid w:val="00160147"/>
    <w:rsid w:val="001621E0"/>
    <w:rsid w:val="00163BA3"/>
    <w:rsid w:val="00164B68"/>
    <w:rsid w:val="0016750F"/>
    <w:rsid w:val="00171B6D"/>
    <w:rsid w:val="001732F6"/>
    <w:rsid w:val="001747F5"/>
    <w:rsid w:val="00174B03"/>
    <w:rsid w:val="001818C0"/>
    <w:rsid w:val="001825E1"/>
    <w:rsid w:val="00182EA9"/>
    <w:rsid w:val="001845F6"/>
    <w:rsid w:val="00186190"/>
    <w:rsid w:val="00187B31"/>
    <w:rsid w:val="001916F8"/>
    <w:rsid w:val="00193A15"/>
    <w:rsid w:val="001967C8"/>
    <w:rsid w:val="00197475"/>
    <w:rsid w:val="0019786B"/>
    <w:rsid w:val="00197DC9"/>
    <w:rsid w:val="001A0602"/>
    <w:rsid w:val="001A0A5D"/>
    <w:rsid w:val="001A1B16"/>
    <w:rsid w:val="001A1DA7"/>
    <w:rsid w:val="001A203A"/>
    <w:rsid w:val="001A26EC"/>
    <w:rsid w:val="001A5BA2"/>
    <w:rsid w:val="001A60C3"/>
    <w:rsid w:val="001A6652"/>
    <w:rsid w:val="001A7C07"/>
    <w:rsid w:val="001B0AA2"/>
    <w:rsid w:val="001B1165"/>
    <w:rsid w:val="001B1F23"/>
    <w:rsid w:val="001B6527"/>
    <w:rsid w:val="001C0040"/>
    <w:rsid w:val="001C17DE"/>
    <w:rsid w:val="001C42E5"/>
    <w:rsid w:val="001C4A60"/>
    <w:rsid w:val="001C4F2D"/>
    <w:rsid w:val="001C5F73"/>
    <w:rsid w:val="001D012E"/>
    <w:rsid w:val="001D0718"/>
    <w:rsid w:val="001D153D"/>
    <w:rsid w:val="001D2BF2"/>
    <w:rsid w:val="001D3F5E"/>
    <w:rsid w:val="001D45AA"/>
    <w:rsid w:val="001D4DF0"/>
    <w:rsid w:val="001D5D05"/>
    <w:rsid w:val="001D765D"/>
    <w:rsid w:val="001D7741"/>
    <w:rsid w:val="001E021A"/>
    <w:rsid w:val="001E0F9E"/>
    <w:rsid w:val="001E194C"/>
    <w:rsid w:val="001E533E"/>
    <w:rsid w:val="001E5C29"/>
    <w:rsid w:val="001E6E0B"/>
    <w:rsid w:val="001F3BAF"/>
    <w:rsid w:val="001F467C"/>
    <w:rsid w:val="001F53D0"/>
    <w:rsid w:val="001F54FB"/>
    <w:rsid w:val="001F581B"/>
    <w:rsid w:val="001F64BF"/>
    <w:rsid w:val="00201288"/>
    <w:rsid w:val="002019E8"/>
    <w:rsid w:val="00201B18"/>
    <w:rsid w:val="002059F2"/>
    <w:rsid w:val="00205BBB"/>
    <w:rsid w:val="00207C5F"/>
    <w:rsid w:val="00210133"/>
    <w:rsid w:val="00211847"/>
    <w:rsid w:val="00211D06"/>
    <w:rsid w:val="00212934"/>
    <w:rsid w:val="00212ABE"/>
    <w:rsid w:val="00213C40"/>
    <w:rsid w:val="002225A7"/>
    <w:rsid w:val="00222F9F"/>
    <w:rsid w:val="00223B7D"/>
    <w:rsid w:val="002252A8"/>
    <w:rsid w:val="00227C0E"/>
    <w:rsid w:val="00230BAC"/>
    <w:rsid w:val="00231EFD"/>
    <w:rsid w:val="002325BC"/>
    <w:rsid w:val="00232688"/>
    <w:rsid w:val="0023371A"/>
    <w:rsid w:val="00234379"/>
    <w:rsid w:val="002362EE"/>
    <w:rsid w:val="00240017"/>
    <w:rsid w:val="00242DBD"/>
    <w:rsid w:val="00243A18"/>
    <w:rsid w:val="00243D98"/>
    <w:rsid w:val="00244C08"/>
    <w:rsid w:val="00244EFF"/>
    <w:rsid w:val="00250025"/>
    <w:rsid w:val="0025214B"/>
    <w:rsid w:val="00254412"/>
    <w:rsid w:val="00254731"/>
    <w:rsid w:val="00254C5E"/>
    <w:rsid w:val="00255672"/>
    <w:rsid w:val="00256B4F"/>
    <w:rsid w:val="0026042A"/>
    <w:rsid w:val="00261D74"/>
    <w:rsid w:val="00262B3C"/>
    <w:rsid w:val="00263E5F"/>
    <w:rsid w:val="002642D2"/>
    <w:rsid w:val="002643C9"/>
    <w:rsid w:val="00264837"/>
    <w:rsid w:val="00265DD6"/>
    <w:rsid w:val="002662E1"/>
    <w:rsid w:val="00266E07"/>
    <w:rsid w:val="0026777D"/>
    <w:rsid w:val="002702C7"/>
    <w:rsid w:val="002720F8"/>
    <w:rsid w:val="002727BF"/>
    <w:rsid w:val="00273706"/>
    <w:rsid w:val="00273E95"/>
    <w:rsid w:val="002754D2"/>
    <w:rsid w:val="00275625"/>
    <w:rsid w:val="0027628A"/>
    <w:rsid w:val="00276304"/>
    <w:rsid w:val="002817A9"/>
    <w:rsid w:val="002827E8"/>
    <w:rsid w:val="00284257"/>
    <w:rsid w:val="0028506D"/>
    <w:rsid w:val="00287679"/>
    <w:rsid w:val="00290263"/>
    <w:rsid w:val="00291C71"/>
    <w:rsid w:val="0029311A"/>
    <w:rsid w:val="002934E0"/>
    <w:rsid w:val="002936F6"/>
    <w:rsid w:val="00293AA2"/>
    <w:rsid w:val="00294F64"/>
    <w:rsid w:val="002958ED"/>
    <w:rsid w:val="00295C9F"/>
    <w:rsid w:val="00297FBB"/>
    <w:rsid w:val="002A1856"/>
    <w:rsid w:val="002A1C4C"/>
    <w:rsid w:val="002A6B42"/>
    <w:rsid w:val="002B08A7"/>
    <w:rsid w:val="002B129C"/>
    <w:rsid w:val="002B23C6"/>
    <w:rsid w:val="002B2B18"/>
    <w:rsid w:val="002B364B"/>
    <w:rsid w:val="002B386B"/>
    <w:rsid w:val="002B445D"/>
    <w:rsid w:val="002B463D"/>
    <w:rsid w:val="002B54FB"/>
    <w:rsid w:val="002B6896"/>
    <w:rsid w:val="002C090B"/>
    <w:rsid w:val="002C2A33"/>
    <w:rsid w:val="002C311E"/>
    <w:rsid w:val="002C6078"/>
    <w:rsid w:val="002C66FE"/>
    <w:rsid w:val="002C71F7"/>
    <w:rsid w:val="002C7FD8"/>
    <w:rsid w:val="002D1493"/>
    <w:rsid w:val="002D2047"/>
    <w:rsid w:val="002D21D5"/>
    <w:rsid w:val="002D23A8"/>
    <w:rsid w:val="002D470F"/>
    <w:rsid w:val="002D51A6"/>
    <w:rsid w:val="002D5C5F"/>
    <w:rsid w:val="002D6833"/>
    <w:rsid w:val="002E0175"/>
    <w:rsid w:val="002E0898"/>
    <w:rsid w:val="002E12B0"/>
    <w:rsid w:val="002E1D17"/>
    <w:rsid w:val="002E3E61"/>
    <w:rsid w:val="002E4459"/>
    <w:rsid w:val="002E44B3"/>
    <w:rsid w:val="002E5192"/>
    <w:rsid w:val="002E51DA"/>
    <w:rsid w:val="002F0778"/>
    <w:rsid w:val="002F1E10"/>
    <w:rsid w:val="002F1FE5"/>
    <w:rsid w:val="002F35DC"/>
    <w:rsid w:val="002F4354"/>
    <w:rsid w:val="00301EFF"/>
    <w:rsid w:val="00302146"/>
    <w:rsid w:val="0030268C"/>
    <w:rsid w:val="00303A69"/>
    <w:rsid w:val="00303B7D"/>
    <w:rsid w:val="00304001"/>
    <w:rsid w:val="00305D32"/>
    <w:rsid w:val="0030648B"/>
    <w:rsid w:val="00306B55"/>
    <w:rsid w:val="00306F1B"/>
    <w:rsid w:val="00310280"/>
    <w:rsid w:val="0031073E"/>
    <w:rsid w:val="00311754"/>
    <w:rsid w:val="00311B47"/>
    <w:rsid w:val="003146A6"/>
    <w:rsid w:val="00314CD3"/>
    <w:rsid w:val="0031577D"/>
    <w:rsid w:val="003168DF"/>
    <w:rsid w:val="00316BC5"/>
    <w:rsid w:val="00320722"/>
    <w:rsid w:val="003238FA"/>
    <w:rsid w:val="00324ED1"/>
    <w:rsid w:val="00325139"/>
    <w:rsid w:val="00330D90"/>
    <w:rsid w:val="00330DBD"/>
    <w:rsid w:val="00330EB5"/>
    <w:rsid w:val="0033331F"/>
    <w:rsid w:val="00334810"/>
    <w:rsid w:val="00341E72"/>
    <w:rsid w:val="003433C3"/>
    <w:rsid w:val="00345B08"/>
    <w:rsid w:val="00345C84"/>
    <w:rsid w:val="0034623E"/>
    <w:rsid w:val="00351390"/>
    <w:rsid w:val="00355135"/>
    <w:rsid w:val="0035524F"/>
    <w:rsid w:val="003600D3"/>
    <w:rsid w:val="00360D5D"/>
    <w:rsid w:val="003630DB"/>
    <w:rsid w:val="003635F4"/>
    <w:rsid w:val="00363627"/>
    <w:rsid w:val="0036399C"/>
    <w:rsid w:val="00365879"/>
    <w:rsid w:val="00365A27"/>
    <w:rsid w:val="00366C3D"/>
    <w:rsid w:val="00371008"/>
    <w:rsid w:val="00371136"/>
    <w:rsid w:val="00372B2B"/>
    <w:rsid w:val="003737C6"/>
    <w:rsid w:val="00373B34"/>
    <w:rsid w:val="0037518E"/>
    <w:rsid w:val="0037729D"/>
    <w:rsid w:val="00380032"/>
    <w:rsid w:val="00380B5A"/>
    <w:rsid w:val="0038145B"/>
    <w:rsid w:val="00383937"/>
    <w:rsid w:val="00383BB3"/>
    <w:rsid w:val="00385396"/>
    <w:rsid w:val="00385755"/>
    <w:rsid w:val="00386900"/>
    <w:rsid w:val="00386B8F"/>
    <w:rsid w:val="00387B21"/>
    <w:rsid w:val="003904AF"/>
    <w:rsid w:val="00390A8D"/>
    <w:rsid w:val="00390AD8"/>
    <w:rsid w:val="003910C6"/>
    <w:rsid w:val="00393362"/>
    <w:rsid w:val="003959D7"/>
    <w:rsid w:val="003963FE"/>
    <w:rsid w:val="00397793"/>
    <w:rsid w:val="003A06BF"/>
    <w:rsid w:val="003A152E"/>
    <w:rsid w:val="003A21C4"/>
    <w:rsid w:val="003A2404"/>
    <w:rsid w:val="003A2C79"/>
    <w:rsid w:val="003A2C7B"/>
    <w:rsid w:val="003A5752"/>
    <w:rsid w:val="003A6008"/>
    <w:rsid w:val="003A69F5"/>
    <w:rsid w:val="003B0A34"/>
    <w:rsid w:val="003B1B84"/>
    <w:rsid w:val="003B5306"/>
    <w:rsid w:val="003B5C7F"/>
    <w:rsid w:val="003B6AE5"/>
    <w:rsid w:val="003B7396"/>
    <w:rsid w:val="003B73B0"/>
    <w:rsid w:val="003B7874"/>
    <w:rsid w:val="003B7B13"/>
    <w:rsid w:val="003C2308"/>
    <w:rsid w:val="003C536D"/>
    <w:rsid w:val="003D0CA3"/>
    <w:rsid w:val="003D1CC8"/>
    <w:rsid w:val="003D2487"/>
    <w:rsid w:val="003D3685"/>
    <w:rsid w:val="003D412C"/>
    <w:rsid w:val="003D49FF"/>
    <w:rsid w:val="003D786A"/>
    <w:rsid w:val="003E0974"/>
    <w:rsid w:val="003E1664"/>
    <w:rsid w:val="003E234F"/>
    <w:rsid w:val="003E3B9C"/>
    <w:rsid w:val="003E42D8"/>
    <w:rsid w:val="003E5629"/>
    <w:rsid w:val="003E5964"/>
    <w:rsid w:val="003E7F25"/>
    <w:rsid w:val="003F03C3"/>
    <w:rsid w:val="003F071D"/>
    <w:rsid w:val="003F1DD9"/>
    <w:rsid w:val="003F31F5"/>
    <w:rsid w:val="003F339A"/>
    <w:rsid w:val="003F3CD2"/>
    <w:rsid w:val="004008DF"/>
    <w:rsid w:val="00401B4D"/>
    <w:rsid w:val="00401E5E"/>
    <w:rsid w:val="004027F2"/>
    <w:rsid w:val="0040446C"/>
    <w:rsid w:val="0040688F"/>
    <w:rsid w:val="00413862"/>
    <w:rsid w:val="0041397A"/>
    <w:rsid w:val="0041418D"/>
    <w:rsid w:val="00414DF6"/>
    <w:rsid w:val="004200FB"/>
    <w:rsid w:val="004213D5"/>
    <w:rsid w:val="00421404"/>
    <w:rsid w:val="00422986"/>
    <w:rsid w:val="00422AB9"/>
    <w:rsid w:val="00423B3C"/>
    <w:rsid w:val="00424A2F"/>
    <w:rsid w:val="00424C31"/>
    <w:rsid w:val="004258D5"/>
    <w:rsid w:val="00425C80"/>
    <w:rsid w:val="00426C83"/>
    <w:rsid w:val="00426E8F"/>
    <w:rsid w:val="0042728A"/>
    <w:rsid w:val="00427333"/>
    <w:rsid w:val="0042777A"/>
    <w:rsid w:val="0043029C"/>
    <w:rsid w:val="00430838"/>
    <w:rsid w:val="004339EA"/>
    <w:rsid w:val="00434ADD"/>
    <w:rsid w:val="00436EA3"/>
    <w:rsid w:val="00437ED4"/>
    <w:rsid w:val="004410CF"/>
    <w:rsid w:val="0044143B"/>
    <w:rsid w:val="00443E91"/>
    <w:rsid w:val="00444E37"/>
    <w:rsid w:val="00445FA9"/>
    <w:rsid w:val="00447BE1"/>
    <w:rsid w:val="00447F38"/>
    <w:rsid w:val="00451C35"/>
    <w:rsid w:val="004520DF"/>
    <w:rsid w:val="00454DC8"/>
    <w:rsid w:val="00455D8E"/>
    <w:rsid w:val="004576E1"/>
    <w:rsid w:val="00460B5C"/>
    <w:rsid w:val="004627C9"/>
    <w:rsid w:val="00462E40"/>
    <w:rsid w:val="004636EC"/>
    <w:rsid w:val="004638CF"/>
    <w:rsid w:val="00463E7F"/>
    <w:rsid w:val="00465B37"/>
    <w:rsid w:val="00466CF5"/>
    <w:rsid w:val="00467AD3"/>
    <w:rsid w:val="004709A4"/>
    <w:rsid w:val="00471986"/>
    <w:rsid w:val="00473361"/>
    <w:rsid w:val="00474A4A"/>
    <w:rsid w:val="00475300"/>
    <w:rsid w:val="0047592A"/>
    <w:rsid w:val="00476E1C"/>
    <w:rsid w:val="004806A8"/>
    <w:rsid w:val="004817D1"/>
    <w:rsid w:val="00481B17"/>
    <w:rsid w:val="00482939"/>
    <w:rsid w:val="004846B1"/>
    <w:rsid w:val="00486098"/>
    <w:rsid w:val="004860AA"/>
    <w:rsid w:val="004864A5"/>
    <w:rsid w:val="00486BAE"/>
    <w:rsid w:val="00487BD4"/>
    <w:rsid w:val="004911E1"/>
    <w:rsid w:val="00491256"/>
    <w:rsid w:val="00491289"/>
    <w:rsid w:val="00491599"/>
    <w:rsid w:val="00492379"/>
    <w:rsid w:val="0049353D"/>
    <w:rsid w:val="00494EF9"/>
    <w:rsid w:val="004951A7"/>
    <w:rsid w:val="0049671F"/>
    <w:rsid w:val="00497E6F"/>
    <w:rsid w:val="004A0E38"/>
    <w:rsid w:val="004A1812"/>
    <w:rsid w:val="004A396D"/>
    <w:rsid w:val="004A40FA"/>
    <w:rsid w:val="004A49FA"/>
    <w:rsid w:val="004A500D"/>
    <w:rsid w:val="004A652D"/>
    <w:rsid w:val="004B16FE"/>
    <w:rsid w:val="004B1D83"/>
    <w:rsid w:val="004B23CA"/>
    <w:rsid w:val="004B3635"/>
    <w:rsid w:val="004B3B54"/>
    <w:rsid w:val="004B4EA0"/>
    <w:rsid w:val="004B56C6"/>
    <w:rsid w:val="004B5FE4"/>
    <w:rsid w:val="004B79B4"/>
    <w:rsid w:val="004C1641"/>
    <w:rsid w:val="004C1D75"/>
    <w:rsid w:val="004C69E0"/>
    <w:rsid w:val="004D1B2E"/>
    <w:rsid w:val="004D5861"/>
    <w:rsid w:val="004D7A95"/>
    <w:rsid w:val="004E1555"/>
    <w:rsid w:val="004E19D0"/>
    <w:rsid w:val="004E206A"/>
    <w:rsid w:val="004E3ABA"/>
    <w:rsid w:val="004E7131"/>
    <w:rsid w:val="004F42A0"/>
    <w:rsid w:val="004F46C0"/>
    <w:rsid w:val="004F6BBF"/>
    <w:rsid w:val="004F7DB1"/>
    <w:rsid w:val="00500977"/>
    <w:rsid w:val="005009D7"/>
    <w:rsid w:val="00500B51"/>
    <w:rsid w:val="0050147C"/>
    <w:rsid w:val="00503C39"/>
    <w:rsid w:val="00504D0C"/>
    <w:rsid w:val="005050D6"/>
    <w:rsid w:val="005062DE"/>
    <w:rsid w:val="005078DB"/>
    <w:rsid w:val="0051148D"/>
    <w:rsid w:val="00511AEB"/>
    <w:rsid w:val="00511BEE"/>
    <w:rsid w:val="0051332D"/>
    <w:rsid w:val="00516CA5"/>
    <w:rsid w:val="00517AAE"/>
    <w:rsid w:val="00517CDC"/>
    <w:rsid w:val="0052338B"/>
    <w:rsid w:val="0052538B"/>
    <w:rsid w:val="0052580D"/>
    <w:rsid w:val="00525899"/>
    <w:rsid w:val="0052760F"/>
    <w:rsid w:val="00530012"/>
    <w:rsid w:val="00533E9C"/>
    <w:rsid w:val="00534850"/>
    <w:rsid w:val="005358D1"/>
    <w:rsid w:val="005364BC"/>
    <w:rsid w:val="005366B3"/>
    <w:rsid w:val="00536CF9"/>
    <w:rsid w:val="00537282"/>
    <w:rsid w:val="00537D79"/>
    <w:rsid w:val="00545C97"/>
    <w:rsid w:val="00546FC6"/>
    <w:rsid w:val="005502BE"/>
    <w:rsid w:val="00551D7D"/>
    <w:rsid w:val="005533A6"/>
    <w:rsid w:val="005537FC"/>
    <w:rsid w:val="00556204"/>
    <w:rsid w:val="005562EC"/>
    <w:rsid w:val="005608E6"/>
    <w:rsid w:val="00561992"/>
    <w:rsid w:val="005637A8"/>
    <w:rsid w:val="0056440E"/>
    <w:rsid w:val="00564C85"/>
    <w:rsid w:val="005650F7"/>
    <w:rsid w:val="005656A3"/>
    <w:rsid w:val="00566972"/>
    <w:rsid w:val="0056736D"/>
    <w:rsid w:val="00567476"/>
    <w:rsid w:val="00570DF3"/>
    <w:rsid w:val="005749B5"/>
    <w:rsid w:val="00574C3F"/>
    <w:rsid w:val="00575259"/>
    <w:rsid w:val="00575F06"/>
    <w:rsid w:val="00576DF7"/>
    <w:rsid w:val="005812C4"/>
    <w:rsid w:val="00581DC9"/>
    <w:rsid w:val="00582FCC"/>
    <w:rsid w:val="005834AA"/>
    <w:rsid w:val="0058491C"/>
    <w:rsid w:val="00585BAF"/>
    <w:rsid w:val="00586E3E"/>
    <w:rsid w:val="005878EA"/>
    <w:rsid w:val="0059142A"/>
    <w:rsid w:val="00591D58"/>
    <w:rsid w:val="00592803"/>
    <w:rsid w:val="00593E11"/>
    <w:rsid w:val="00595B19"/>
    <w:rsid w:val="005961F3"/>
    <w:rsid w:val="005978EA"/>
    <w:rsid w:val="00597A01"/>
    <w:rsid w:val="005A090F"/>
    <w:rsid w:val="005A107C"/>
    <w:rsid w:val="005A1875"/>
    <w:rsid w:val="005A277C"/>
    <w:rsid w:val="005A2902"/>
    <w:rsid w:val="005A37CC"/>
    <w:rsid w:val="005A44D1"/>
    <w:rsid w:val="005A4BFB"/>
    <w:rsid w:val="005A53EF"/>
    <w:rsid w:val="005A5638"/>
    <w:rsid w:val="005A5F2C"/>
    <w:rsid w:val="005A6CEA"/>
    <w:rsid w:val="005A6D99"/>
    <w:rsid w:val="005B0235"/>
    <w:rsid w:val="005B08F7"/>
    <w:rsid w:val="005B0A4C"/>
    <w:rsid w:val="005B0C31"/>
    <w:rsid w:val="005B0DEB"/>
    <w:rsid w:val="005B1C70"/>
    <w:rsid w:val="005B3217"/>
    <w:rsid w:val="005B3639"/>
    <w:rsid w:val="005B3F67"/>
    <w:rsid w:val="005B4018"/>
    <w:rsid w:val="005B534B"/>
    <w:rsid w:val="005B6A5F"/>
    <w:rsid w:val="005B76A4"/>
    <w:rsid w:val="005B7DA7"/>
    <w:rsid w:val="005C08D1"/>
    <w:rsid w:val="005C0F3C"/>
    <w:rsid w:val="005C27C9"/>
    <w:rsid w:val="005C4381"/>
    <w:rsid w:val="005C531E"/>
    <w:rsid w:val="005C5785"/>
    <w:rsid w:val="005C701B"/>
    <w:rsid w:val="005D2D3A"/>
    <w:rsid w:val="005D543A"/>
    <w:rsid w:val="005D5BC6"/>
    <w:rsid w:val="005D727F"/>
    <w:rsid w:val="005D7873"/>
    <w:rsid w:val="005D7BD4"/>
    <w:rsid w:val="005E0441"/>
    <w:rsid w:val="005E2BEF"/>
    <w:rsid w:val="005E48FE"/>
    <w:rsid w:val="005E4BCA"/>
    <w:rsid w:val="005E5F19"/>
    <w:rsid w:val="005E7E0D"/>
    <w:rsid w:val="005F0C39"/>
    <w:rsid w:val="005F129A"/>
    <w:rsid w:val="005F2204"/>
    <w:rsid w:val="005F2CF6"/>
    <w:rsid w:val="005F4016"/>
    <w:rsid w:val="005F45EE"/>
    <w:rsid w:val="005F4D97"/>
    <w:rsid w:val="005F525F"/>
    <w:rsid w:val="005F539A"/>
    <w:rsid w:val="005F6DB5"/>
    <w:rsid w:val="00600511"/>
    <w:rsid w:val="00601E4E"/>
    <w:rsid w:val="006032F2"/>
    <w:rsid w:val="006052FA"/>
    <w:rsid w:val="006054BC"/>
    <w:rsid w:val="00606F4D"/>
    <w:rsid w:val="006115F8"/>
    <w:rsid w:val="00614F0D"/>
    <w:rsid w:val="006155C8"/>
    <w:rsid w:val="006156AB"/>
    <w:rsid w:val="00615C26"/>
    <w:rsid w:val="00617262"/>
    <w:rsid w:val="0061736A"/>
    <w:rsid w:val="00620BC7"/>
    <w:rsid w:val="00622465"/>
    <w:rsid w:val="0062379C"/>
    <w:rsid w:val="00624EA6"/>
    <w:rsid w:val="00624EB8"/>
    <w:rsid w:val="006275CF"/>
    <w:rsid w:val="00631371"/>
    <w:rsid w:val="00633B92"/>
    <w:rsid w:val="006349AB"/>
    <w:rsid w:val="00634F34"/>
    <w:rsid w:val="0063507B"/>
    <w:rsid w:val="00635444"/>
    <w:rsid w:val="00635D25"/>
    <w:rsid w:val="00635FD3"/>
    <w:rsid w:val="0063660E"/>
    <w:rsid w:val="00640CD4"/>
    <w:rsid w:val="00643911"/>
    <w:rsid w:val="006457BD"/>
    <w:rsid w:val="00646224"/>
    <w:rsid w:val="0064670D"/>
    <w:rsid w:val="006504DD"/>
    <w:rsid w:val="00650B08"/>
    <w:rsid w:val="006518A6"/>
    <w:rsid w:val="00655356"/>
    <w:rsid w:val="006557AE"/>
    <w:rsid w:val="00657315"/>
    <w:rsid w:val="00657336"/>
    <w:rsid w:val="00657963"/>
    <w:rsid w:val="00660DD5"/>
    <w:rsid w:val="00660F11"/>
    <w:rsid w:val="00661870"/>
    <w:rsid w:val="006625E2"/>
    <w:rsid w:val="00663C07"/>
    <w:rsid w:val="006655F0"/>
    <w:rsid w:val="00666AA1"/>
    <w:rsid w:val="006710E2"/>
    <w:rsid w:val="006711C5"/>
    <w:rsid w:val="00672436"/>
    <w:rsid w:val="00673029"/>
    <w:rsid w:val="006730B4"/>
    <w:rsid w:val="00673DE0"/>
    <w:rsid w:val="00674CB8"/>
    <w:rsid w:val="00680DD0"/>
    <w:rsid w:val="006812F8"/>
    <w:rsid w:val="006820A3"/>
    <w:rsid w:val="00684C5A"/>
    <w:rsid w:val="00684EDD"/>
    <w:rsid w:val="00685DE8"/>
    <w:rsid w:val="00686E66"/>
    <w:rsid w:val="0068720F"/>
    <w:rsid w:val="006878CA"/>
    <w:rsid w:val="00687A34"/>
    <w:rsid w:val="00691B72"/>
    <w:rsid w:val="00691FBF"/>
    <w:rsid w:val="00692EC5"/>
    <w:rsid w:val="006931CD"/>
    <w:rsid w:val="0069459A"/>
    <w:rsid w:val="00696BBA"/>
    <w:rsid w:val="006A06A1"/>
    <w:rsid w:val="006A07B8"/>
    <w:rsid w:val="006A1AF0"/>
    <w:rsid w:val="006A1E35"/>
    <w:rsid w:val="006A3765"/>
    <w:rsid w:val="006A4405"/>
    <w:rsid w:val="006A56F6"/>
    <w:rsid w:val="006A7B4C"/>
    <w:rsid w:val="006B054F"/>
    <w:rsid w:val="006B0E21"/>
    <w:rsid w:val="006B125B"/>
    <w:rsid w:val="006B20C9"/>
    <w:rsid w:val="006B251C"/>
    <w:rsid w:val="006B2610"/>
    <w:rsid w:val="006B2BE8"/>
    <w:rsid w:val="006B3CF0"/>
    <w:rsid w:val="006B5797"/>
    <w:rsid w:val="006B5C4F"/>
    <w:rsid w:val="006B641C"/>
    <w:rsid w:val="006B6850"/>
    <w:rsid w:val="006C1032"/>
    <w:rsid w:val="006C1E05"/>
    <w:rsid w:val="006C20CD"/>
    <w:rsid w:val="006C312B"/>
    <w:rsid w:val="006C3238"/>
    <w:rsid w:val="006C462C"/>
    <w:rsid w:val="006C4776"/>
    <w:rsid w:val="006C6D53"/>
    <w:rsid w:val="006D0B8F"/>
    <w:rsid w:val="006D0BE4"/>
    <w:rsid w:val="006D1127"/>
    <w:rsid w:val="006D21E6"/>
    <w:rsid w:val="006D3705"/>
    <w:rsid w:val="006D4DEB"/>
    <w:rsid w:val="006D57BD"/>
    <w:rsid w:val="006D64ED"/>
    <w:rsid w:val="006D6885"/>
    <w:rsid w:val="006D6A06"/>
    <w:rsid w:val="006D6D33"/>
    <w:rsid w:val="006E0D10"/>
    <w:rsid w:val="006E1465"/>
    <w:rsid w:val="006E20CD"/>
    <w:rsid w:val="006E318D"/>
    <w:rsid w:val="006E3896"/>
    <w:rsid w:val="006E50FE"/>
    <w:rsid w:val="006E5474"/>
    <w:rsid w:val="006E70AA"/>
    <w:rsid w:val="006F0176"/>
    <w:rsid w:val="006F0BCA"/>
    <w:rsid w:val="006F20A9"/>
    <w:rsid w:val="006F2CDA"/>
    <w:rsid w:val="006F4F4D"/>
    <w:rsid w:val="007002A6"/>
    <w:rsid w:val="00700751"/>
    <w:rsid w:val="00701275"/>
    <w:rsid w:val="00703345"/>
    <w:rsid w:val="00704BE6"/>
    <w:rsid w:val="00705441"/>
    <w:rsid w:val="007059EF"/>
    <w:rsid w:val="00706C74"/>
    <w:rsid w:val="00707789"/>
    <w:rsid w:val="007101AC"/>
    <w:rsid w:val="00710669"/>
    <w:rsid w:val="0071110D"/>
    <w:rsid w:val="00711553"/>
    <w:rsid w:val="007122DB"/>
    <w:rsid w:val="00715D1E"/>
    <w:rsid w:val="007172ED"/>
    <w:rsid w:val="00717B76"/>
    <w:rsid w:val="007213BD"/>
    <w:rsid w:val="00721ACE"/>
    <w:rsid w:val="00721B31"/>
    <w:rsid w:val="00721CE7"/>
    <w:rsid w:val="00723173"/>
    <w:rsid w:val="0072404F"/>
    <w:rsid w:val="00726E54"/>
    <w:rsid w:val="007314DD"/>
    <w:rsid w:val="00733F38"/>
    <w:rsid w:val="00734C37"/>
    <w:rsid w:val="00735BD7"/>
    <w:rsid w:val="00737902"/>
    <w:rsid w:val="00737916"/>
    <w:rsid w:val="00737DB0"/>
    <w:rsid w:val="00740DAA"/>
    <w:rsid w:val="00741178"/>
    <w:rsid w:val="00741588"/>
    <w:rsid w:val="007439F7"/>
    <w:rsid w:val="00743BAA"/>
    <w:rsid w:val="00746A89"/>
    <w:rsid w:val="00753091"/>
    <w:rsid w:val="00760C4C"/>
    <w:rsid w:val="00761706"/>
    <w:rsid w:val="00761CD9"/>
    <w:rsid w:val="00763163"/>
    <w:rsid w:val="00763C8D"/>
    <w:rsid w:val="00764B4D"/>
    <w:rsid w:val="00765D40"/>
    <w:rsid w:val="007671A3"/>
    <w:rsid w:val="007703AA"/>
    <w:rsid w:val="0077241D"/>
    <w:rsid w:val="00772D0C"/>
    <w:rsid w:val="007737FE"/>
    <w:rsid w:val="00773B28"/>
    <w:rsid w:val="0077433C"/>
    <w:rsid w:val="00775FC7"/>
    <w:rsid w:val="00777281"/>
    <w:rsid w:val="0077782D"/>
    <w:rsid w:val="007820A7"/>
    <w:rsid w:val="007826DF"/>
    <w:rsid w:val="00784107"/>
    <w:rsid w:val="00784BF1"/>
    <w:rsid w:val="00785376"/>
    <w:rsid w:val="00785727"/>
    <w:rsid w:val="0078763C"/>
    <w:rsid w:val="0079054C"/>
    <w:rsid w:val="007915A5"/>
    <w:rsid w:val="00791F4E"/>
    <w:rsid w:val="00792B6D"/>
    <w:rsid w:val="00795492"/>
    <w:rsid w:val="00797CC5"/>
    <w:rsid w:val="007A0534"/>
    <w:rsid w:val="007A10B2"/>
    <w:rsid w:val="007A3790"/>
    <w:rsid w:val="007A50F1"/>
    <w:rsid w:val="007B1ABB"/>
    <w:rsid w:val="007B2CED"/>
    <w:rsid w:val="007B6955"/>
    <w:rsid w:val="007B77E6"/>
    <w:rsid w:val="007B7F15"/>
    <w:rsid w:val="007C4053"/>
    <w:rsid w:val="007C43CC"/>
    <w:rsid w:val="007C6CA8"/>
    <w:rsid w:val="007D02F5"/>
    <w:rsid w:val="007D0D77"/>
    <w:rsid w:val="007D16E1"/>
    <w:rsid w:val="007D1936"/>
    <w:rsid w:val="007D1C35"/>
    <w:rsid w:val="007D2F5D"/>
    <w:rsid w:val="007D4988"/>
    <w:rsid w:val="007D4E91"/>
    <w:rsid w:val="007D4FBD"/>
    <w:rsid w:val="007D5C98"/>
    <w:rsid w:val="007E1A48"/>
    <w:rsid w:val="007E37D6"/>
    <w:rsid w:val="007E38A1"/>
    <w:rsid w:val="007E40C8"/>
    <w:rsid w:val="007E4E41"/>
    <w:rsid w:val="007E6565"/>
    <w:rsid w:val="007E79EA"/>
    <w:rsid w:val="007F0359"/>
    <w:rsid w:val="007F0F29"/>
    <w:rsid w:val="007F133F"/>
    <w:rsid w:val="007F2251"/>
    <w:rsid w:val="007F2651"/>
    <w:rsid w:val="007F3E94"/>
    <w:rsid w:val="007F4FE4"/>
    <w:rsid w:val="007F5976"/>
    <w:rsid w:val="007F7229"/>
    <w:rsid w:val="008001C5"/>
    <w:rsid w:val="00800340"/>
    <w:rsid w:val="00800F91"/>
    <w:rsid w:val="008025C9"/>
    <w:rsid w:val="00802CE7"/>
    <w:rsid w:val="00803472"/>
    <w:rsid w:val="00803E1B"/>
    <w:rsid w:val="00804DA6"/>
    <w:rsid w:val="00805582"/>
    <w:rsid w:val="008063F9"/>
    <w:rsid w:val="00806C7A"/>
    <w:rsid w:val="00810E7A"/>
    <w:rsid w:val="00811358"/>
    <w:rsid w:val="00811B6D"/>
    <w:rsid w:val="00812B23"/>
    <w:rsid w:val="00812D47"/>
    <w:rsid w:val="00813D25"/>
    <w:rsid w:val="00814698"/>
    <w:rsid w:val="00814F8C"/>
    <w:rsid w:val="008159FC"/>
    <w:rsid w:val="00815DB9"/>
    <w:rsid w:val="008166B7"/>
    <w:rsid w:val="00816EEA"/>
    <w:rsid w:val="00816F2D"/>
    <w:rsid w:val="008228A3"/>
    <w:rsid w:val="0082388A"/>
    <w:rsid w:val="00831AAE"/>
    <w:rsid w:val="0083291A"/>
    <w:rsid w:val="00832F1C"/>
    <w:rsid w:val="0083340D"/>
    <w:rsid w:val="008338EB"/>
    <w:rsid w:val="00833FA4"/>
    <w:rsid w:val="008340BC"/>
    <w:rsid w:val="0083788D"/>
    <w:rsid w:val="00837AF3"/>
    <w:rsid w:val="00837F26"/>
    <w:rsid w:val="0084117A"/>
    <w:rsid w:val="00842B41"/>
    <w:rsid w:val="00843716"/>
    <w:rsid w:val="008468F9"/>
    <w:rsid w:val="008477C0"/>
    <w:rsid w:val="00847AC7"/>
    <w:rsid w:val="0085015E"/>
    <w:rsid w:val="008542F1"/>
    <w:rsid w:val="00857722"/>
    <w:rsid w:val="00860318"/>
    <w:rsid w:val="008606D8"/>
    <w:rsid w:val="00861338"/>
    <w:rsid w:val="00864B67"/>
    <w:rsid w:val="008658B8"/>
    <w:rsid w:val="00865D25"/>
    <w:rsid w:val="00865D2D"/>
    <w:rsid w:val="008677B6"/>
    <w:rsid w:val="00867A86"/>
    <w:rsid w:val="0087005B"/>
    <w:rsid w:val="00870C57"/>
    <w:rsid w:val="00870FC7"/>
    <w:rsid w:val="008711EE"/>
    <w:rsid w:val="00871238"/>
    <w:rsid w:val="00871FAB"/>
    <w:rsid w:val="00872C6B"/>
    <w:rsid w:val="008734B1"/>
    <w:rsid w:val="0087713F"/>
    <w:rsid w:val="00881C08"/>
    <w:rsid w:val="00881CA3"/>
    <w:rsid w:val="0088257C"/>
    <w:rsid w:val="00883963"/>
    <w:rsid w:val="00884963"/>
    <w:rsid w:val="00886913"/>
    <w:rsid w:val="00887542"/>
    <w:rsid w:val="00887BD4"/>
    <w:rsid w:val="00890F78"/>
    <w:rsid w:val="00892BD1"/>
    <w:rsid w:val="0089367D"/>
    <w:rsid w:val="00896AA8"/>
    <w:rsid w:val="008A0A85"/>
    <w:rsid w:val="008A3613"/>
    <w:rsid w:val="008A37D9"/>
    <w:rsid w:val="008A4CB2"/>
    <w:rsid w:val="008A5CF4"/>
    <w:rsid w:val="008A62ED"/>
    <w:rsid w:val="008A65C7"/>
    <w:rsid w:val="008A729A"/>
    <w:rsid w:val="008B0189"/>
    <w:rsid w:val="008B09E2"/>
    <w:rsid w:val="008B1047"/>
    <w:rsid w:val="008B1A29"/>
    <w:rsid w:val="008B1AE1"/>
    <w:rsid w:val="008B3D0F"/>
    <w:rsid w:val="008B4985"/>
    <w:rsid w:val="008B4A52"/>
    <w:rsid w:val="008C2165"/>
    <w:rsid w:val="008C2213"/>
    <w:rsid w:val="008C2331"/>
    <w:rsid w:val="008C26BD"/>
    <w:rsid w:val="008C4023"/>
    <w:rsid w:val="008C44EA"/>
    <w:rsid w:val="008C4DCE"/>
    <w:rsid w:val="008C7A1B"/>
    <w:rsid w:val="008C7CDB"/>
    <w:rsid w:val="008D035D"/>
    <w:rsid w:val="008D0408"/>
    <w:rsid w:val="008D05E9"/>
    <w:rsid w:val="008D0784"/>
    <w:rsid w:val="008D0839"/>
    <w:rsid w:val="008D1CC1"/>
    <w:rsid w:val="008D3499"/>
    <w:rsid w:val="008D502C"/>
    <w:rsid w:val="008D50A7"/>
    <w:rsid w:val="008D66D8"/>
    <w:rsid w:val="008E114D"/>
    <w:rsid w:val="008E1BD7"/>
    <w:rsid w:val="008E347E"/>
    <w:rsid w:val="008E499F"/>
    <w:rsid w:val="008E4CB0"/>
    <w:rsid w:val="008E508E"/>
    <w:rsid w:val="008E52A6"/>
    <w:rsid w:val="008E5D04"/>
    <w:rsid w:val="008E6E00"/>
    <w:rsid w:val="008E7FF6"/>
    <w:rsid w:val="008F121B"/>
    <w:rsid w:val="008F1403"/>
    <w:rsid w:val="008F292B"/>
    <w:rsid w:val="008F3E51"/>
    <w:rsid w:val="008F471D"/>
    <w:rsid w:val="008F48E5"/>
    <w:rsid w:val="008F4A63"/>
    <w:rsid w:val="008F58CA"/>
    <w:rsid w:val="0090431F"/>
    <w:rsid w:val="00905223"/>
    <w:rsid w:val="0090530F"/>
    <w:rsid w:val="00905D45"/>
    <w:rsid w:val="009062BF"/>
    <w:rsid w:val="00907086"/>
    <w:rsid w:val="00907A71"/>
    <w:rsid w:val="0091321E"/>
    <w:rsid w:val="009211AE"/>
    <w:rsid w:val="009227FA"/>
    <w:rsid w:val="00922861"/>
    <w:rsid w:val="00922F83"/>
    <w:rsid w:val="009263A6"/>
    <w:rsid w:val="00927299"/>
    <w:rsid w:val="00931861"/>
    <w:rsid w:val="00935024"/>
    <w:rsid w:val="00936734"/>
    <w:rsid w:val="009367D6"/>
    <w:rsid w:val="009371A4"/>
    <w:rsid w:val="00937A84"/>
    <w:rsid w:val="00940F9D"/>
    <w:rsid w:val="009419E8"/>
    <w:rsid w:val="00943490"/>
    <w:rsid w:val="009457F1"/>
    <w:rsid w:val="00945F55"/>
    <w:rsid w:val="009475DA"/>
    <w:rsid w:val="00950981"/>
    <w:rsid w:val="009518CB"/>
    <w:rsid w:val="009543B3"/>
    <w:rsid w:val="00954481"/>
    <w:rsid w:val="009568D5"/>
    <w:rsid w:val="0095702B"/>
    <w:rsid w:val="009602B7"/>
    <w:rsid w:val="009609E1"/>
    <w:rsid w:val="009621A9"/>
    <w:rsid w:val="00962F23"/>
    <w:rsid w:val="009639EF"/>
    <w:rsid w:val="00964487"/>
    <w:rsid w:val="0096451D"/>
    <w:rsid w:val="0096463C"/>
    <w:rsid w:val="009650A6"/>
    <w:rsid w:val="009655D1"/>
    <w:rsid w:val="00970C16"/>
    <w:rsid w:val="00970D4E"/>
    <w:rsid w:val="00971B56"/>
    <w:rsid w:val="00973080"/>
    <w:rsid w:val="00975643"/>
    <w:rsid w:val="0097649E"/>
    <w:rsid w:val="00977E6B"/>
    <w:rsid w:val="00980328"/>
    <w:rsid w:val="00981096"/>
    <w:rsid w:val="00981131"/>
    <w:rsid w:val="009827C8"/>
    <w:rsid w:val="00983C83"/>
    <w:rsid w:val="0098733A"/>
    <w:rsid w:val="00987895"/>
    <w:rsid w:val="009910DA"/>
    <w:rsid w:val="009924F8"/>
    <w:rsid w:val="009929B7"/>
    <w:rsid w:val="00993311"/>
    <w:rsid w:val="00994FA4"/>
    <w:rsid w:val="0099656B"/>
    <w:rsid w:val="00996573"/>
    <w:rsid w:val="00997331"/>
    <w:rsid w:val="009A076F"/>
    <w:rsid w:val="009A0C86"/>
    <w:rsid w:val="009A11D8"/>
    <w:rsid w:val="009A25B5"/>
    <w:rsid w:val="009A46D4"/>
    <w:rsid w:val="009A51BB"/>
    <w:rsid w:val="009A6249"/>
    <w:rsid w:val="009A659F"/>
    <w:rsid w:val="009A65EC"/>
    <w:rsid w:val="009B1848"/>
    <w:rsid w:val="009B1A9B"/>
    <w:rsid w:val="009B1DB4"/>
    <w:rsid w:val="009B20D9"/>
    <w:rsid w:val="009B276E"/>
    <w:rsid w:val="009B2D24"/>
    <w:rsid w:val="009B31D6"/>
    <w:rsid w:val="009B3B13"/>
    <w:rsid w:val="009B3B81"/>
    <w:rsid w:val="009B3BB3"/>
    <w:rsid w:val="009B5AA0"/>
    <w:rsid w:val="009B64D0"/>
    <w:rsid w:val="009B6ADC"/>
    <w:rsid w:val="009B7D65"/>
    <w:rsid w:val="009C04BB"/>
    <w:rsid w:val="009C2263"/>
    <w:rsid w:val="009C2A4D"/>
    <w:rsid w:val="009C30A5"/>
    <w:rsid w:val="009C31A9"/>
    <w:rsid w:val="009C31C7"/>
    <w:rsid w:val="009C4315"/>
    <w:rsid w:val="009D090A"/>
    <w:rsid w:val="009D1057"/>
    <w:rsid w:val="009D72B6"/>
    <w:rsid w:val="009E0BE2"/>
    <w:rsid w:val="009E3B9A"/>
    <w:rsid w:val="009E542D"/>
    <w:rsid w:val="009E554A"/>
    <w:rsid w:val="009E5F14"/>
    <w:rsid w:val="009E66AA"/>
    <w:rsid w:val="009F18F9"/>
    <w:rsid w:val="009F37B4"/>
    <w:rsid w:val="009F5B4C"/>
    <w:rsid w:val="009F5BCA"/>
    <w:rsid w:val="009F5D79"/>
    <w:rsid w:val="009F62F8"/>
    <w:rsid w:val="009F7EC0"/>
    <w:rsid w:val="00A00743"/>
    <w:rsid w:val="00A01190"/>
    <w:rsid w:val="00A019B0"/>
    <w:rsid w:val="00A024D0"/>
    <w:rsid w:val="00A02B46"/>
    <w:rsid w:val="00A031B4"/>
    <w:rsid w:val="00A035EB"/>
    <w:rsid w:val="00A04EE8"/>
    <w:rsid w:val="00A07762"/>
    <w:rsid w:val="00A11833"/>
    <w:rsid w:val="00A13A90"/>
    <w:rsid w:val="00A13AB2"/>
    <w:rsid w:val="00A13DA2"/>
    <w:rsid w:val="00A15B3E"/>
    <w:rsid w:val="00A163E4"/>
    <w:rsid w:val="00A17E9B"/>
    <w:rsid w:val="00A209E6"/>
    <w:rsid w:val="00A20F25"/>
    <w:rsid w:val="00A22303"/>
    <w:rsid w:val="00A251AF"/>
    <w:rsid w:val="00A268F1"/>
    <w:rsid w:val="00A31A5F"/>
    <w:rsid w:val="00A31E1C"/>
    <w:rsid w:val="00A324F5"/>
    <w:rsid w:val="00A32861"/>
    <w:rsid w:val="00A333F0"/>
    <w:rsid w:val="00A33724"/>
    <w:rsid w:val="00A337E0"/>
    <w:rsid w:val="00A36ACC"/>
    <w:rsid w:val="00A3757D"/>
    <w:rsid w:val="00A37674"/>
    <w:rsid w:val="00A40EDE"/>
    <w:rsid w:val="00A432C0"/>
    <w:rsid w:val="00A440AB"/>
    <w:rsid w:val="00A4564F"/>
    <w:rsid w:val="00A45AA6"/>
    <w:rsid w:val="00A45D50"/>
    <w:rsid w:val="00A46BBA"/>
    <w:rsid w:val="00A46FA9"/>
    <w:rsid w:val="00A54ADE"/>
    <w:rsid w:val="00A55E0E"/>
    <w:rsid w:val="00A56FF5"/>
    <w:rsid w:val="00A578B1"/>
    <w:rsid w:val="00A60D6E"/>
    <w:rsid w:val="00A611DC"/>
    <w:rsid w:val="00A63596"/>
    <w:rsid w:val="00A639BD"/>
    <w:rsid w:val="00A6510E"/>
    <w:rsid w:val="00A655B6"/>
    <w:rsid w:val="00A661DD"/>
    <w:rsid w:val="00A675C8"/>
    <w:rsid w:val="00A67B51"/>
    <w:rsid w:val="00A67D04"/>
    <w:rsid w:val="00A719BE"/>
    <w:rsid w:val="00A72CDA"/>
    <w:rsid w:val="00A761B2"/>
    <w:rsid w:val="00A775E0"/>
    <w:rsid w:val="00A80309"/>
    <w:rsid w:val="00A81B14"/>
    <w:rsid w:val="00A81E71"/>
    <w:rsid w:val="00A83870"/>
    <w:rsid w:val="00A83EB6"/>
    <w:rsid w:val="00A8436C"/>
    <w:rsid w:val="00A84416"/>
    <w:rsid w:val="00A84759"/>
    <w:rsid w:val="00A85CA9"/>
    <w:rsid w:val="00A87E1C"/>
    <w:rsid w:val="00A90E1A"/>
    <w:rsid w:val="00A916F5"/>
    <w:rsid w:val="00A94168"/>
    <w:rsid w:val="00A95117"/>
    <w:rsid w:val="00A9533F"/>
    <w:rsid w:val="00A964F8"/>
    <w:rsid w:val="00AA09CF"/>
    <w:rsid w:val="00AA158E"/>
    <w:rsid w:val="00AA2B41"/>
    <w:rsid w:val="00AA3D1A"/>
    <w:rsid w:val="00AA4375"/>
    <w:rsid w:val="00AA46C7"/>
    <w:rsid w:val="00AA6091"/>
    <w:rsid w:val="00AA74BD"/>
    <w:rsid w:val="00AB2177"/>
    <w:rsid w:val="00AC09A1"/>
    <w:rsid w:val="00AC1B7C"/>
    <w:rsid w:val="00AC1CCF"/>
    <w:rsid w:val="00AC305E"/>
    <w:rsid w:val="00AC36C4"/>
    <w:rsid w:val="00AC3D80"/>
    <w:rsid w:val="00AC428B"/>
    <w:rsid w:val="00AC4C2C"/>
    <w:rsid w:val="00AC4F94"/>
    <w:rsid w:val="00AC5707"/>
    <w:rsid w:val="00AC6562"/>
    <w:rsid w:val="00AD114C"/>
    <w:rsid w:val="00AD1475"/>
    <w:rsid w:val="00AD297F"/>
    <w:rsid w:val="00AD55A9"/>
    <w:rsid w:val="00AD6721"/>
    <w:rsid w:val="00AD6AA9"/>
    <w:rsid w:val="00AD6FCB"/>
    <w:rsid w:val="00AD76EC"/>
    <w:rsid w:val="00AD7907"/>
    <w:rsid w:val="00AE00DB"/>
    <w:rsid w:val="00AE01BD"/>
    <w:rsid w:val="00AE0495"/>
    <w:rsid w:val="00AE1C9F"/>
    <w:rsid w:val="00AE37F1"/>
    <w:rsid w:val="00AE512D"/>
    <w:rsid w:val="00AE58B2"/>
    <w:rsid w:val="00AF0625"/>
    <w:rsid w:val="00AF0804"/>
    <w:rsid w:val="00AF0DAC"/>
    <w:rsid w:val="00AF0F9B"/>
    <w:rsid w:val="00AF1968"/>
    <w:rsid w:val="00AF444E"/>
    <w:rsid w:val="00AF48A5"/>
    <w:rsid w:val="00AF55A2"/>
    <w:rsid w:val="00AF707E"/>
    <w:rsid w:val="00B00BA9"/>
    <w:rsid w:val="00B01824"/>
    <w:rsid w:val="00B02CA1"/>
    <w:rsid w:val="00B0489A"/>
    <w:rsid w:val="00B051D1"/>
    <w:rsid w:val="00B07DD9"/>
    <w:rsid w:val="00B07F6B"/>
    <w:rsid w:val="00B13532"/>
    <w:rsid w:val="00B13773"/>
    <w:rsid w:val="00B17341"/>
    <w:rsid w:val="00B216FF"/>
    <w:rsid w:val="00B22C49"/>
    <w:rsid w:val="00B24625"/>
    <w:rsid w:val="00B25807"/>
    <w:rsid w:val="00B25A04"/>
    <w:rsid w:val="00B26E64"/>
    <w:rsid w:val="00B27742"/>
    <w:rsid w:val="00B31FCA"/>
    <w:rsid w:val="00B33A60"/>
    <w:rsid w:val="00B356A4"/>
    <w:rsid w:val="00B4159C"/>
    <w:rsid w:val="00B41E1A"/>
    <w:rsid w:val="00B43DB6"/>
    <w:rsid w:val="00B44C23"/>
    <w:rsid w:val="00B45E50"/>
    <w:rsid w:val="00B46152"/>
    <w:rsid w:val="00B46515"/>
    <w:rsid w:val="00B5083A"/>
    <w:rsid w:val="00B50CAB"/>
    <w:rsid w:val="00B50D3A"/>
    <w:rsid w:val="00B5136F"/>
    <w:rsid w:val="00B525E9"/>
    <w:rsid w:val="00B540B3"/>
    <w:rsid w:val="00B55A91"/>
    <w:rsid w:val="00B56182"/>
    <w:rsid w:val="00B56CAE"/>
    <w:rsid w:val="00B56E32"/>
    <w:rsid w:val="00B57568"/>
    <w:rsid w:val="00B65F26"/>
    <w:rsid w:val="00B66448"/>
    <w:rsid w:val="00B66F03"/>
    <w:rsid w:val="00B71A79"/>
    <w:rsid w:val="00B72B22"/>
    <w:rsid w:val="00B74B3A"/>
    <w:rsid w:val="00B756CB"/>
    <w:rsid w:val="00B75BF8"/>
    <w:rsid w:val="00B75DBD"/>
    <w:rsid w:val="00B77087"/>
    <w:rsid w:val="00B80699"/>
    <w:rsid w:val="00B80CB9"/>
    <w:rsid w:val="00B828E9"/>
    <w:rsid w:val="00B82969"/>
    <w:rsid w:val="00B833EF"/>
    <w:rsid w:val="00B92034"/>
    <w:rsid w:val="00B92969"/>
    <w:rsid w:val="00B9364F"/>
    <w:rsid w:val="00B95C18"/>
    <w:rsid w:val="00B961F4"/>
    <w:rsid w:val="00B97CAC"/>
    <w:rsid w:val="00BA08AB"/>
    <w:rsid w:val="00BA18AB"/>
    <w:rsid w:val="00BA1DBF"/>
    <w:rsid w:val="00BA40E0"/>
    <w:rsid w:val="00BA4A39"/>
    <w:rsid w:val="00BA4CA0"/>
    <w:rsid w:val="00BA5B04"/>
    <w:rsid w:val="00BA5D7A"/>
    <w:rsid w:val="00BA5E37"/>
    <w:rsid w:val="00BA7871"/>
    <w:rsid w:val="00BA7E2C"/>
    <w:rsid w:val="00BA7F99"/>
    <w:rsid w:val="00BB0431"/>
    <w:rsid w:val="00BB269A"/>
    <w:rsid w:val="00BB3D1E"/>
    <w:rsid w:val="00BB3E5C"/>
    <w:rsid w:val="00BB49BB"/>
    <w:rsid w:val="00BB64CB"/>
    <w:rsid w:val="00BC06DA"/>
    <w:rsid w:val="00BC081D"/>
    <w:rsid w:val="00BC23BB"/>
    <w:rsid w:val="00BC49BA"/>
    <w:rsid w:val="00BC5091"/>
    <w:rsid w:val="00BC50B5"/>
    <w:rsid w:val="00BC5EFA"/>
    <w:rsid w:val="00BC60EB"/>
    <w:rsid w:val="00BC64AE"/>
    <w:rsid w:val="00BC74CA"/>
    <w:rsid w:val="00BC754C"/>
    <w:rsid w:val="00BD1901"/>
    <w:rsid w:val="00BD2634"/>
    <w:rsid w:val="00BD280B"/>
    <w:rsid w:val="00BD2C78"/>
    <w:rsid w:val="00BD476B"/>
    <w:rsid w:val="00BD7EDF"/>
    <w:rsid w:val="00BE0115"/>
    <w:rsid w:val="00BE0EBF"/>
    <w:rsid w:val="00BE1F04"/>
    <w:rsid w:val="00BE232B"/>
    <w:rsid w:val="00BE3764"/>
    <w:rsid w:val="00BE3F37"/>
    <w:rsid w:val="00BE49E0"/>
    <w:rsid w:val="00BE68C4"/>
    <w:rsid w:val="00BE77CA"/>
    <w:rsid w:val="00BF09EF"/>
    <w:rsid w:val="00BF198D"/>
    <w:rsid w:val="00BF50C3"/>
    <w:rsid w:val="00BF6112"/>
    <w:rsid w:val="00BF65E7"/>
    <w:rsid w:val="00BF6BEA"/>
    <w:rsid w:val="00BF7D94"/>
    <w:rsid w:val="00C01EFF"/>
    <w:rsid w:val="00C02999"/>
    <w:rsid w:val="00C05353"/>
    <w:rsid w:val="00C05C78"/>
    <w:rsid w:val="00C06684"/>
    <w:rsid w:val="00C070CE"/>
    <w:rsid w:val="00C07C03"/>
    <w:rsid w:val="00C10735"/>
    <w:rsid w:val="00C11706"/>
    <w:rsid w:val="00C1325D"/>
    <w:rsid w:val="00C146C7"/>
    <w:rsid w:val="00C14CB3"/>
    <w:rsid w:val="00C15F5E"/>
    <w:rsid w:val="00C207AC"/>
    <w:rsid w:val="00C20B96"/>
    <w:rsid w:val="00C20E0C"/>
    <w:rsid w:val="00C2137A"/>
    <w:rsid w:val="00C217C6"/>
    <w:rsid w:val="00C228EE"/>
    <w:rsid w:val="00C262E1"/>
    <w:rsid w:val="00C31C0E"/>
    <w:rsid w:val="00C31E49"/>
    <w:rsid w:val="00C33196"/>
    <w:rsid w:val="00C34035"/>
    <w:rsid w:val="00C35D54"/>
    <w:rsid w:val="00C40995"/>
    <w:rsid w:val="00C4388F"/>
    <w:rsid w:val="00C43FE4"/>
    <w:rsid w:val="00C4439D"/>
    <w:rsid w:val="00C44995"/>
    <w:rsid w:val="00C45972"/>
    <w:rsid w:val="00C45D27"/>
    <w:rsid w:val="00C467D3"/>
    <w:rsid w:val="00C4794A"/>
    <w:rsid w:val="00C53098"/>
    <w:rsid w:val="00C542C4"/>
    <w:rsid w:val="00C547C9"/>
    <w:rsid w:val="00C54DC8"/>
    <w:rsid w:val="00C54E93"/>
    <w:rsid w:val="00C56074"/>
    <w:rsid w:val="00C60736"/>
    <w:rsid w:val="00C6175A"/>
    <w:rsid w:val="00C641B0"/>
    <w:rsid w:val="00C64EDA"/>
    <w:rsid w:val="00C65EF2"/>
    <w:rsid w:val="00C6642B"/>
    <w:rsid w:val="00C704CC"/>
    <w:rsid w:val="00C71A34"/>
    <w:rsid w:val="00C74FA0"/>
    <w:rsid w:val="00C75C81"/>
    <w:rsid w:val="00C801CC"/>
    <w:rsid w:val="00C80272"/>
    <w:rsid w:val="00C802B2"/>
    <w:rsid w:val="00C84D68"/>
    <w:rsid w:val="00C84FEA"/>
    <w:rsid w:val="00C8633F"/>
    <w:rsid w:val="00C86DE7"/>
    <w:rsid w:val="00C90193"/>
    <w:rsid w:val="00C93353"/>
    <w:rsid w:val="00C944A4"/>
    <w:rsid w:val="00C96065"/>
    <w:rsid w:val="00C960D1"/>
    <w:rsid w:val="00C965D4"/>
    <w:rsid w:val="00CA0D42"/>
    <w:rsid w:val="00CA1316"/>
    <w:rsid w:val="00CA7994"/>
    <w:rsid w:val="00CA7A33"/>
    <w:rsid w:val="00CA7A4D"/>
    <w:rsid w:val="00CB0DB3"/>
    <w:rsid w:val="00CB0EA4"/>
    <w:rsid w:val="00CB1983"/>
    <w:rsid w:val="00CB5955"/>
    <w:rsid w:val="00CB597A"/>
    <w:rsid w:val="00CB6292"/>
    <w:rsid w:val="00CB6867"/>
    <w:rsid w:val="00CC2754"/>
    <w:rsid w:val="00CC3CDD"/>
    <w:rsid w:val="00CC3E3A"/>
    <w:rsid w:val="00CC44C5"/>
    <w:rsid w:val="00CC68D9"/>
    <w:rsid w:val="00CC7303"/>
    <w:rsid w:val="00CD0DCF"/>
    <w:rsid w:val="00CD0F20"/>
    <w:rsid w:val="00CD2117"/>
    <w:rsid w:val="00CD2EE9"/>
    <w:rsid w:val="00CD320F"/>
    <w:rsid w:val="00CD32C5"/>
    <w:rsid w:val="00CD5FD3"/>
    <w:rsid w:val="00CE099F"/>
    <w:rsid w:val="00CE2587"/>
    <w:rsid w:val="00CE392B"/>
    <w:rsid w:val="00CE3BEA"/>
    <w:rsid w:val="00CE3E7D"/>
    <w:rsid w:val="00CE44BC"/>
    <w:rsid w:val="00CE4DE0"/>
    <w:rsid w:val="00CE5702"/>
    <w:rsid w:val="00CE5EB4"/>
    <w:rsid w:val="00CE72E9"/>
    <w:rsid w:val="00CF1280"/>
    <w:rsid w:val="00CF12AA"/>
    <w:rsid w:val="00CF2591"/>
    <w:rsid w:val="00CF2AA3"/>
    <w:rsid w:val="00CF3BCC"/>
    <w:rsid w:val="00CF4938"/>
    <w:rsid w:val="00CF4B3E"/>
    <w:rsid w:val="00CF734F"/>
    <w:rsid w:val="00CF7B18"/>
    <w:rsid w:val="00D000EA"/>
    <w:rsid w:val="00D0115F"/>
    <w:rsid w:val="00D017B6"/>
    <w:rsid w:val="00D02BEA"/>
    <w:rsid w:val="00D02F5C"/>
    <w:rsid w:val="00D03C79"/>
    <w:rsid w:val="00D06A22"/>
    <w:rsid w:val="00D06CB5"/>
    <w:rsid w:val="00D07601"/>
    <w:rsid w:val="00D102C9"/>
    <w:rsid w:val="00D10411"/>
    <w:rsid w:val="00D112B0"/>
    <w:rsid w:val="00D11902"/>
    <w:rsid w:val="00D13E54"/>
    <w:rsid w:val="00D13E74"/>
    <w:rsid w:val="00D14E26"/>
    <w:rsid w:val="00D1544D"/>
    <w:rsid w:val="00D162EF"/>
    <w:rsid w:val="00D164F8"/>
    <w:rsid w:val="00D16D3C"/>
    <w:rsid w:val="00D2015D"/>
    <w:rsid w:val="00D2020A"/>
    <w:rsid w:val="00D20679"/>
    <w:rsid w:val="00D2256A"/>
    <w:rsid w:val="00D24247"/>
    <w:rsid w:val="00D243CA"/>
    <w:rsid w:val="00D24DA4"/>
    <w:rsid w:val="00D250B9"/>
    <w:rsid w:val="00D253BF"/>
    <w:rsid w:val="00D25531"/>
    <w:rsid w:val="00D263A7"/>
    <w:rsid w:val="00D268F2"/>
    <w:rsid w:val="00D301A7"/>
    <w:rsid w:val="00D31F37"/>
    <w:rsid w:val="00D32800"/>
    <w:rsid w:val="00D35718"/>
    <w:rsid w:val="00D40C6B"/>
    <w:rsid w:val="00D421C2"/>
    <w:rsid w:val="00D45BEF"/>
    <w:rsid w:val="00D464E1"/>
    <w:rsid w:val="00D465BD"/>
    <w:rsid w:val="00D47EDE"/>
    <w:rsid w:val="00D52BAC"/>
    <w:rsid w:val="00D52C0B"/>
    <w:rsid w:val="00D52D82"/>
    <w:rsid w:val="00D53BCE"/>
    <w:rsid w:val="00D5467B"/>
    <w:rsid w:val="00D565A9"/>
    <w:rsid w:val="00D573CF"/>
    <w:rsid w:val="00D57F08"/>
    <w:rsid w:val="00D60F84"/>
    <w:rsid w:val="00D63F9C"/>
    <w:rsid w:val="00D6527D"/>
    <w:rsid w:val="00D70209"/>
    <w:rsid w:val="00D707FF"/>
    <w:rsid w:val="00D71753"/>
    <w:rsid w:val="00D756A4"/>
    <w:rsid w:val="00D764B5"/>
    <w:rsid w:val="00D768BF"/>
    <w:rsid w:val="00D77094"/>
    <w:rsid w:val="00D802A3"/>
    <w:rsid w:val="00D80FCC"/>
    <w:rsid w:val="00D82712"/>
    <w:rsid w:val="00D84BE3"/>
    <w:rsid w:val="00D84D05"/>
    <w:rsid w:val="00D85EE0"/>
    <w:rsid w:val="00D862BB"/>
    <w:rsid w:val="00D86811"/>
    <w:rsid w:val="00D86DAB"/>
    <w:rsid w:val="00D917F4"/>
    <w:rsid w:val="00D93295"/>
    <w:rsid w:val="00D935DF"/>
    <w:rsid w:val="00D93926"/>
    <w:rsid w:val="00D95779"/>
    <w:rsid w:val="00DA0A2A"/>
    <w:rsid w:val="00DA1403"/>
    <w:rsid w:val="00DA28F8"/>
    <w:rsid w:val="00DA3291"/>
    <w:rsid w:val="00DA5924"/>
    <w:rsid w:val="00DB10EC"/>
    <w:rsid w:val="00DB2FD7"/>
    <w:rsid w:val="00DB3DC1"/>
    <w:rsid w:val="00DB41C8"/>
    <w:rsid w:val="00DB46C7"/>
    <w:rsid w:val="00DB60E7"/>
    <w:rsid w:val="00DC1AAF"/>
    <w:rsid w:val="00DC4BDF"/>
    <w:rsid w:val="00DC53FA"/>
    <w:rsid w:val="00DC5B97"/>
    <w:rsid w:val="00DC6A54"/>
    <w:rsid w:val="00DC71F5"/>
    <w:rsid w:val="00DC7DFC"/>
    <w:rsid w:val="00DD20DE"/>
    <w:rsid w:val="00DD21D1"/>
    <w:rsid w:val="00DD26BE"/>
    <w:rsid w:val="00DD39C5"/>
    <w:rsid w:val="00DD3F89"/>
    <w:rsid w:val="00DD7858"/>
    <w:rsid w:val="00DE19C6"/>
    <w:rsid w:val="00DE2B5E"/>
    <w:rsid w:val="00DE4273"/>
    <w:rsid w:val="00DE4680"/>
    <w:rsid w:val="00DE4BCF"/>
    <w:rsid w:val="00DE7054"/>
    <w:rsid w:val="00DE73D7"/>
    <w:rsid w:val="00DF0584"/>
    <w:rsid w:val="00DF1F0D"/>
    <w:rsid w:val="00DF1F17"/>
    <w:rsid w:val="00DF459F"/>
    <w:rsid w:val="00DF7693"/>
    <w:rsid w:val="00E00351"/>
    <w:rsid w:val="00E059D4"/>
    <w:rsid w:val="00E07837"/>
    <w:rsid w:val="00E0799A"/>
    <w:rsid w:val="00E11E90"/>
    <w:rsid w:val="00E126E7"/>
    <w:rsid w:val="00E14789"/>
    <w:rsid w:val="00E14F5D"/>
    <w:rsid w:val="00E1535D"/>
    <w:rsid w:val="00E16991"/>
    <w:rsid w:val="00E172CE"/>
    <w:rsid w:val="00E17690"/>
    <w:rsid w:val="00E20822"/>
    <w:rsid w:val="00E20B82"/>
    <w:rsid w:val="00E21E98"/>
    <w:rsid w:val="00E22959"/>
    <w:rsid w:val="00E243FA"/>
    <w:rsid w:val="00E25F28"/>
    <w:rsid w:val="00E2758A"/>
    <w:rsid w:val="00E319BB"/>
    <w:rsid w:val="00E34B35"/>
    <w:rsid w:val="00E377D6"/>
    <w:rsid w:val="00E439C3"/>
    <w:rsid w:val="00E46186"/>
    <w:rsid w:val="00E466BA"/>
    <w:rsid w:val="00E5175E"/>
    <w:rsid w:val="00E53101"/>
    <w:rsid w:val="00E547C4"/>
    <w:rsid w:val="00E54A2E"/>
    <w:rsid w:val="00E56FD7"/>
    <w:rsid w:val="00E5739D"/>
    <w:rsid w:val="00E57409"/>
    <w:rsid w:val="00E577D7"/>
    <w:rsid w:val="00E60AD8"/>
    <w:rsid w:val="00E627BF"/>
    <w:rsid w:val="00E63116"/>
    <w:rsid w:val="00E63701"/>
    <w:rsid w:val="00E63C9C"/>
    <w:rsid w:val="00E656C8"/>
    <w:rsid w:val="00E704C8"/>
    <w:rsid w:val="00E70E6D"/>
    <w:rsid w:val="00E7225D"/>
    <w:rsid w:val="00E72B56"/>
    <w:rsid w:val="00E72BBC"/>
    <w:rsid w:val="00E72BC7"/>
    <w:rsid w:val="00E72BCC"/>
    <w:rsid w:val="00E72C55"/>
    <w:rsid w:val="00E732C6"/>
    <w:rsid w:val="00E735B5"/>
    <w:rsid w:val="00E75CD4"/>
    <w:rsid w:val="00E81BA6"/>
    <w:rsid w:val="00E832A6"/>
    <w:rsid w:val="00E83F3F"/>
    <w:rsid w:val="00E84762"/>
    <w:rsid w:val="00E84D92"/>
    <w:rsid w:val="00E86851"/>
    <w:rsid w:val="00E8739E"/>
    <w:rsid w:val="00E96BFF"/>
    <w:rsid w:val="00EA0157"/>
    <w:rsid w:val="00EA0E44"/>
    <w:rsid w:val="00EA1CF2"/>
    <w:rsid w:val="00EA29E0"/>
    <w:rsid w:val="00EA4927"/>
    <w:rsid w:val="00EA7090"/>
    <w:rsid w:val="00EB3228"/>
    <w:rsid w:val="00EB3993"/>
    <w:rsid w:val="00EB5668"/>
    <w:rsid w:val="00EB5696"/>
    <w:rsid w:val="00EB5C26"/>
    <w:rsid w:val="00EC1E57"/>
    <w:rsid w:val="00EC27B5"/>
    <w:rsid w:val="00EC29D7"/>
    <w:rsid w:val="00EC2BB5"/>
    <w:rsid w:val="00EC2DAD"/>
    <w:rsid w:val="00EC45EA"/>
    <w:rsid w:val="00EC5E36"/>
    <w:rsid w:val="00EC6B26"/>
    <w:rsid w:val="00EC7315"/>
    <w:rsid w:val="00EC7B98"/>
    <w:rsid w:val="00ED102F"/>
    <w:rsid w:val="00ED1556"/>
    <w:rsid w:val="00ED21A1"/>
    <w:rsid w:val="00ED2859"/>
    <w:rsid w:val="00ED32CE"/>
    <w:rsid w:val="00ED688C"/>
    <w:rsid w:val="00ED7422"/>
    <w:rsid w:val="00ED7E71"/>
    <w:rsid w:val="00EE0AC6"/>
    <w:rsid w:val="00EE2307"/>
    <w:rsid w:val="00EE2B00"/>
    <w:rsid w:val="00EE2FA6"/>
    <w:rsid w:val="00EE3992"/>
    <w:rsid w:val="00EE4010"/>
    <w:rsid w:val="00EE7989"/>
    <w:rsid w:val="00EF1941"/>
    <w:rsid w:val="00EF2BDC"/>
    <w:rsid w:val="00EF40D5"/>
    <w:rsid w:val="00EF4DAC"/>
    <w:rsid w:val="00F00DBC"/>
    <w:rsid w:val="00F02F7D"/>
    <w:rsid w:val="00F0475B"/>
    <w:rsid w:val="00F05AA3"/>
    <w:rsid w:val="00F0620A"/>
    <w:rsid w:val="00F067E9"/>
    <w:rsid w:val="00F10C0C"/>
    <w:rsid w:val="00F111EE"/>
    <w:rsid w:val="00F11722"/>
    <w:rsid w:val="00F1269F"/>
    <w:rsid w:val="00F131B1"/>
    <w:rsid w:val="00F14006"/>
    <w:rsid w:val="00F14E62"/>
    <w:rsid w:val="00F15415"/>
    <w:rsid w:val="00F15504"/>
    <w:rsid w:val="00F15607"/>
    <w:rsid w:val="00F16B1F"/>
    <w:rsid w:val="00F1728D"/>
    <w:rsid w:val="00F17814"/>
    <w:rsid w:val="00F179EA"/>
    <w:rsid w:val="00F17FE2"/>
    <w:rsid w:val="00F217FA"/>
    <w:rsid w:val="00F23541"/>
    <w:rsid w:val="00F23F61"/>
    <w:rsid w:val="00F27169"/>
    <w:rsid w:val="00F3380E"/>
    <w:rsid w:val="00F339F2"/>
    <w:rsid w:val="00F344DF"/>
    <w:rsid w:val="00F35D45"/>
    <w:rsid w:val="00F36E0A"/>
    <w:rsid w:val="00F37363"/>
    <w:rsid w:val="00F3738E"/>
    <w:rsid w:val="00F4127D"/>
    <w:rsid w:val="00F412B7"/>
    <w:rsid w:val="00F41E32"/>
    <w:rsid w:val="00F44A2A"/>
    <w:rsid w:val="00F46680"/>
    <w:rsid w:val="00F47ADB"/>
    <w:rsid w:val="00F505E7"/>
    <w:rsid w:val="00F51EC0"/>
    <w:rsid w:val="00F55B9C"/>
    <w:rsid w:val="00F6285A"/>
    <w:rsid w:val="00F65A31"/>
    <w:rsid w:val="00F67FFB"/>
    <w:rsid w:val="00F725D4"/>
    <w:rsid w:val="00F72710"/>
    <w:rsid w:val="00F73313"/>
    <w:rsid w:val="00F739F3"/>
    <w:rsid w:val="00F74987"/>
    <w:rsid w:val="00F74AC3"/>
    <w:rsid w:val="00F77416"/>
    <w:rsid w:val="00F777A5"/>
    <w:rsid w:val="00F77ADB"/>
    <w:rsid w:val="00F77EDC"/>
    <w:rsid w:val="00F8054B"/>
    <w:rsid w:val="00F80774"/>
    <w:rsid w:val="00F8089A"/>
    <w:rsid w:val="00F81E70"/>
    <w:rsid w:val="00F82FF7"/>
    <w:rsid w:val="00F847D1"/>
    <w:rsid w:val="00F853FD"/>
    <w:rsid w:val="00F8570D"/>
    <w:rsid w:val="00F87AD9"/>
    <w:rsid w:val="00F9092C"/>
    <w:rsid w:val="00F9150E"/>
    <w:rsid w:val="00F928D8"/>
    <w:rsid w:val="00F93D21"/>
    <w:rsid w:val="00F93DFC"/>
    <w:rsid w:val="00F94413"/>
    <w:rsid w:val="00F95399"/>
    <w:rsid w:val="00F96484"/>
    <w:rsid w:val="00F96AF1"/>
    <w:rsid w:val="00F9700F"/>
    <w:rsid w:val="00FA1D6E"/>
    <w:rsid w:val="00FA218F"/>
    <w:rsid w:val="00FA2C00"/>
    <w:rsid w:val="00FA3532"/>
    <w:rsid w:val="00FA5BA4"/>
    <w:rsid w:val="00FA630E"/>
    <w:rsid w:val="00FA7716"/>
    <w:rsid w:val="00FB08AA"/>
    <w:rsid w:val="00FB08B2"/>
    <w:rsid w:val="00FB30DB"/>
    <w:rsid w:val="00FB3A39"/>
    <w:rsid w:val="00FB3B62"/>
    <w:rsid w:val="00FB3D44"/>
    <w:rsid w:val="00FB56DC"/>
    <w:rsid w:val="00FB61F7"/>
    <w:rsid w:val="00FB6A89"/>
    <w:rsid w:val="00FB7EB3"/>
    <w:rsid w:val="00FC002D"/>
    <w:rsid w:val="00FC1FE9"/>
    <w:rsid w:val="00FC2E9B"/>
    <w:rsid w:val="00FC3C0B"/>
    <w:rsid w:val="00FC5B63"/>
    <w:rsid w:val="00FC650C"/>
    <w:rsid w:val="00FC7245"/>
    <w:rsid w:val="00FC7778"/>
    <w:rsid w:val="00FD00BE"/>
    <w:rsid w:val="00FD1A28"/>
    <w:rsid w:val="00FD3714"/>
    <w:rsid w:val="00FD40B5"/>
    <w:rsid w:val="00FD41CE"/>
    <w:rsid w:val="00FD47E1"/>
    <w:rsid w:val="00FD6A24"/>
    <w:rsid w:val="00FE1AC9"/>
    <w:rsid w:val="00FE22FB"/>
    <w:rsid w:val="00FE2DE8"/>
    <w:rsid w:val="00FE39AC"/>
    <w:rsid w:val="00FE4B1A"/>
    <w:rsid w:val="00FE55A2"/>
    <w:rsid w:val="00FE6610"/>
    <w:rsid w:val="00FE6A20"/>
    <w:rsid w:val="00FE7A34"/>
    <w:rsid w:val="00FF06C9"/>
    <w:rsid w:val="00FF11A8"/>
    <w:rsid w:val="00FF2863"/>
    <w:rsid w:val="00FF41CD"/>
    <w:rsid w:val="00FF4E7A"/>
    <w:rsid w:val="00FF4FA0"/>
    <w:rsid w:val="00FF528A"/>
    <w:rsid w:val="00FF6541"/>
    <w:rsid w:val="00FF7496"/>
    <w:rsid w:val="00FF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ru v:ext="edit" colors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40E13"/>
    <w:pPr>
      <w:keepNext/>
      <w:ind w:left="284" w:right="425"/>
      <w:jc w:val="center"/>
      <w:outlineLvl w:val="0"/>
    </w:pPr>
    <w:rPr>
      <w:b/>
      <w:bCs/>
      <w:color w:val="FF0000"/>
      <w:sz w:val="36"/>
    </w:rPr>
  </w:style>
  <w:style w:type="paragraph" w:styleId="4">
    <w:name w:val="heading 4"/>
    <w:basedOn w:val="a"/>
    <w:next w:val="a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3"/>
    </w:pPr>
    <w:rPr>
      <w:b/>
      <w:bCs/>
      <w:i/>
      <w:color w:val="000080"/>
      <w:spacing w:val="-2"/>
      <w:szCs w:val="20"/>
    </w:rPr>
  </w:style>
  <w:style w:type="paragraph" w:styleId="6">
    <w:name w:val="heading 6"/>
    <w:basedOn w:val="a"/>
    <w:next w:val="a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5"/>
    </w:pPr>
    <w:rPr>
      <w:b/>
      <w:bCs/>
      <w:iCs/>
      <w:color w:val="FF0000"/>
      <w:spacing w:val="-2"/>
      <w:sz w:val="32"/>
      <w:szCs w:val="20"/>
    </w:rPr>
  </w:style>
  <w:style w:type="paragraph" w:styleId="7">
    <w:name w:val="heading 7"/>
    <w:basedOn w:val="a"/>
    <w:next w:val="a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6"/>
    </w:pPr>
    <w:rPr>
      <w:b/>
      <w:bCs/>
      <w:i/>
      <w:iCs/>
      <w:color w:val="FF0000"/>
      <w:spacing w:val="-2"/>
      <w:sz w:val="32"/>
      <w:szCs w:val="20"/>
    </w:rPr>
  </w:style>
  <w:style w:type="character" w:default="1" w:styleId="a0">
    <w:name w:val="Default Paragraph Font"/>
    <w:aliases w:val="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rsid w:val="007E38A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E38A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857722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MS Mincho"/>
      <w:spacing w:val="-2"/>
      <w:sz w:val="28"/>
      <w:szCs w:val="20"/>
    </w:rPr>
  </w:style>
  <w:style w:type="paragraph" w:styleId="3">
    <w:name w:val="Body Text Indent 3"/>
    <w:basedOn w:val="a"/>
    <w:rsid w:val="004F6BB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295C9F"/>
    <w:rPr>
      <w:rFonts w:ascii="Tahoma" w:hAnsi="Tahoma" w:cs="Tahoma"/>
      <w:sz w:val="16"/>
      <w:szCs w:val="16"/>
    </w:rPr>
  </w:style>
  <w:style w:type="paragraph" w:styleId="a7">
    <w:name w:val="Title"/>
    <w:basedOn w:val="a"/>
    <w:qFormat/>
    <w:rsid w:val="007A3790"/>
    <w:pPr>
      <w:overflowPunct w:val="0"/>
      <w:autoSpaceDE w:val="0"/>
      <w:autoSpaceDN w:val="0"/>
      <w:adjustRightInd w:val="0"/>
      <w:jc w:val="center"/>
      <w:textAlignment w:val="baseline"/>
    </w:pPr>
    <w:rPr>
      <w:b/>
      <w:iCs/>
      <w:spacing w:val="-2"/>
      <w:sz w:val="28"/>
      <w:szCs w:val="20"/>
    </w:rPr>
  </w:style>
  <w:style w:type="paragraph" w:customStyle="1" w:styleId="a1">
    <w:name w:val=" Знак"/>
    <w:basedOn w:val="a"/>
    <w:link w:val="a0"/>
    <w:rsid w:val="007A379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 Знак1 Знак"/>
    <w:basedOn w:val="a"/>
    <w:rsid w:val="00CC730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page number"/>
    <w:basedOn w:val="a0"/>
    <w:rsid w:val="00B82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3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hart" Target="charts/chart5.xml"/><Relationship Id="rId5" Type="http://schemas.openxmlformats.org/officeDocument/2006/relationships/endnotes" Target="endnote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at_KUP\TemplateXLT\Analiz_RC_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______________________3.xlsm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______________________4.xlsm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______________________9.xlsm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2013</c:v>
                </c:pt>
              </c:strCache>
            </c:strRef>
          </c:tx>
          <c:spPr>
            <a:gradFill flip="none" rotWithShape="1">
              <a:gsLst>
                <a:gs pos="0">
                  <a:srgbClr val="131DDB"/>
                </a:gs>
                <a:gs pos="50000">
                  <a:srgbClr val="4F81BD">
                    <a:lumMod val="40000"/>
                    <a:lumOff val="60000"/>
                  </a:srgbClr>
                </a:gs>
                <a:gs pos="100000">
                  <a:srgbClr val="1414F4"/>
                </a:gs>
              </a:gsLst>
              <a:lin ang="0" scaled="0"/>
              <a:tileRect/>
            </a:gradFill>
            <a:scene3d>
              <a:camera prst="orthographicFront"/>
              <a:lightRig rig="threePt" dir="t"/>
            </a:scene3d>
            <a:sp3d>
              <a:bevelT w="0" h="0"/>
            </a:sp3d>
          </c:spPr>
          <c:dLbls>
            <c:txPr>
              <a:bodyPr/>
              <a:lstStyle/>
              <a:p>
                <a:pPr>
                  <a:defRPr b="1">
                    <a:solidFill>
                      <a:srgbClr val="131DDB"/>
                    </a:solidFill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Лист1!$A$2:$A$5</c:f>
              <c:strCache>
                <c:ptCount val="4"/>
                <c:pt idx="0">
                  <c:v>Пожары</c:v>
                </c:pt>
                <c:pt idx="1">
                  <c:v>Гибель</c:v>
                </c:pt>
                <c:pt idx="2">
                  <c:v>Травмы</c:v>
                </c:pt>
                <c:pt idx="3">
                  <c:v>Ущерб (млн.руб)</c:v>
                </c:pt>
              </c:strCache>
            </c:strRef>
          </c:cat>
          <c:val>
            <c:numRef>
              <c:f>Лист1!$B$2:$B$5</c:f>
              <c:numCache>
                <c:formatCode>0</c:formatCode>
                <c:ptCount val="4"/>
                <c:pt idx="0" formatCode="General">
                  <c:v>3888</c:v>
                </c:pt>
                <c:pt idx="1">
                  <c:v>353</c:v>
                </c:pt>
                <c:pt idx="2" formatCode="General">
                  <c:v>351</c:v>
                </c:pt>
                <c:pt idx="3" formatCode="0.0">
                  <c:v>285.89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spPr>
            <a:gradFill>
              <a:gsLst>
                <a:gs pos="0">
                  <a:srgbClr val="EB35D5"/>
                </a:gs>
                <a:gs pos="50000">
                  <a:srgbClr val="C0504D">
                    <a:lumMod val="20000"/>
                    <a:lumOff val="80000"/>
                  </a:srgbClr>
                </a:gs>
                <a:gs pos="100000">
                  <a:srgbClr val="EB35D5"/>
                </a:gs>
              </a:gsLst>
              <a:lin ang="0" scaled="0"/>
            </a:gradFill>
            <a:scene3d>
              <a:camera prst="orthographicFront"/>
              <a:lightRig rig="threePt" dir="t"/>
            </a:scene3d>
            <a:sp3d>
              <a:bevelT w="0" h="0"/>
            </a:sp3d>
          </c:spPr>
          <c:dLbls>
            <c:txPr>
              <a:bodyPr/>
              <a:lstStyle/>
              <a:p>
                <a:pPr>
                  <a:defRPr b="1">
                    <a:solidFill>
                      <a:srgbClr val="EB35D5"/>
                    </a:solidFill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Лист1!$A$2:$A$5</c:f>
              <c:strCache>
                <c:ptCount val="4"/>
                <c:pt idx="0">
                  <c:v>Пожары</c:v>
                </c:pt>
                <c:pt idx="1">
                  <c:v>Гибель</c:v>
                </c:pt>
                <c:pt idx="2">
                  <c:v>Травмы</c:v>
                </c:pt>
                <c:pt idx="3">
                  <c:v>Ущерб (млн.руб)</c:v>
                </c:pt>
              </c:strCache>
            </c:strRef>
          </c:cat>
          <c:val>
            <c:numRef>
              <c:f>Лист1!$C$2:$C$5</c:f>
              <c:numCache>
                <c:formatCode>0</c:formatCode>
                <c:ptCount val="4"/>
                <c:pt idx="0" formatCode="General">
                  <c:v>3772</c:v>
                </c:pt>
                <c:pt idx="1">
                  <c:v>341</c:v>
                </c:pt>
                <c:pt idx="2" formatCode="General">
                  <c:v>326</c:v>
                </c:pt>
                <c:pt idx="3" formatCode="0.0">
                  <c:v>363.4899999999999</c:v>
                </c:pt>
              </c:numCache>
            </c:numRef>
          </c:val>
        </c:ser>
        <c:dLbls>
          <c:showVal val="1"/>
        </c:dLbls>
        <c:axId val="157592192"/>
        <c:axId val="158256128"/>
      </c:barChart>
      <c:catAx>
        <c:axId val="157592192"/>
        <c:scaling>
          <c:orientation val="minMax"/>
        </c:scaling>
        <c:axPos val="b"/>
        <c:numFmt formatCode="General" sourceLinked="1"/>
        <c:tickLblPos val="nextTo"/>
        <c:crossAx val="158256128"/>
        <c:crosses val="autoZero"/>
        <c:auto val="1"/>
        <c:lblAlgn val="ctr"/>
        <c:lblOffset val="100"/>
      </c:catAx>
      <c:valAx>
        <c:axId val="158256128"/>
        <c:scaling>
          <c:logBase val="10"/>
          <c:orientation val="minMax"/>
        </c:scaling>
        <c:axPos val="l"/>
        <c:numFmt formatCode="General" sourceLinked="1"/>
        <c:tickLblPos val="nextTo"/>
        <c:crossAx val="157592192"/>
        <c:crosses val="autoZero"/>
        <c:crossBetween val="between"/>
      </c:valAx>
      <c:spPr>
        <a:noFill/>
        <a:ln w="25399">
          <a:noFill/>
        </a:ln>
      </c:spPr>
    </c:plotArea>
    <c:legend>
      <c:legendPos val="b"/>
    </c:legend>
    <c:plotVisOnly val="1"/>
    <c:dispBlanksAs val="gap"/>
  </c:chart>
  <c:spPr>
    <a:ln>
      <a:noFill/>
    </a:ln>
  </c:spPr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2013</c:v>
                </c:pt>
              </c:strCache>
            </c:strRef>
          </c:tx>
          <c:spPr>
            <a:gradFill flip="none" rotWithShape="1">
              <a:gsLst>
                <a:gs pos="0">
                  <a:srgbClr val="131DDB"/>
                </a:gs>
                <a:gs pos="50000">
                  <a:srgbClr val="4F81BD">
                    <a:lumMod val="40000"/>
                    <a:lumOff val="60000"/>
                  </a:srgbClr>
                </a:gs>
                <a:gs pos="100000">
                  <a:srgbClr val="1414F4"/>
                </a:gs>
              </a:gsLst>
              <a:lin ang="0" scaled="0"/>
              <a:tileRect/>
            </a:gradFill>
            <a:scene3d>
              <a:camera prst="orthographicFront"/>
              <a:lightRig rig="threePt" dir="t"/>
            </a:scene3d>
            <a:sp3d>
              <a:bevelT w="0" h="0"/>
            </a:sp3d>
          </c:spPr>
          <c:dLbls>
            <c:txPr>
              <a:bodyPr rot="-5400000" vert="horz"/>
              <a:lstStyle/>
              <a:p>
                <a:pPr>
                  <a:defRPr sz="800" b="1" baseline="0">
                    <a:solidFill>
                      <a:srgbClr val="131DDB"/>
                    </a:solidFill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Лист1!$A$2:$A$13</c:f>
              <c:strCache>
                <c:ptCount val="12"/>
                <c:pt idx="0">
                  <c:v>Янв</c:v>
                </c:pt>
                <c:pt idx="1">
                  <c:v>Фев</c:v>
                </c:pt>
                <c:pt idx="2">
                  <c:v>Мар</c:v>
                </c:pt>
                <c:pt idx="3">
                  <c:v>Апр</c:v>
                </c:pt>
                <c:pt idx="4">
                  <c:v>Май</c:v>
                </c:pt>
                <c:pt idx="5">
                  <c:v>Июн</c:v>
                </c:pt>
                <c:pt idx="6">
                  <c:v>Июл</c:v>
                </c:pt>
                <c:pt idx="7">
                  <c:v>Авг</c:v>
                </c:pt>
                <c:pt idx="8">
                  <c:v>Сен</c:v>
                </c:pt>
                <c:pt idx="9">
                  <c:v>Окт</c:v>
                </c:pt>
                <c:pt idx="10">
                  <c:v>Ноя</c:v>
                </c:pt>
                <c:pt idx="11">
                  <c:v>Дек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352</c:v>
                </c:pt>
                <c:pt idx="1">
                  <c:v>318</c:v>
                </c:pt>
                <c:pt idx="2">
                  <c:v>313</c:v>
                </c:pt>
                <c:pt idx="3">
                  <c:v>303</c:v>
                </c:pt>
                <c:pt idx="4">
                  <c:v>370</c:v>
                </c:pt>
                <c:pt idx="5">
                  <c:v>331</c:v>
                </c:pt>
                <c:pt idx="6">
                  <c:v>280</c:v>
                </c:pt>
                <c:pt idx="7">
                  <c:v>261</c:v>
                </c:pt>
                <c:pt idx="8">
                  <c:v>315</c:v>
                </c:pt>
                <c:pt idx="9">
                  <c:v>322</c:v>
                </c:pt>
                <c:pt idx="10">
                  <c:v>311</c:v>
                </c:pt>
                <c:pt idx="11">
                  <c:v>412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spPr>
            <a:gradFill>
              <a:gsLst>
                <a:gs pos="0">
                  <a:srgbClr val="EB35D5"/>
                </a:gs>
                <a:gs pos="50000">
                  <a:srgbClr val="C0504D">
                    <a:lumMod val="20000"/>
                    <a:lumOff val="80000"/>
                  </a:srgbClr>
                </a:gs>
                <a:gs pos="100000">
                  <a:srgbClr val="EB35D5"/>
                </a:gs>
              </a:gsLst>
              <a:lin ang="0" scaled="0"/>
            </a:gradFill>
            <a:scene3d>
              <a:camera prst="orthographicFront"/>
              <a:lightRig rig="threePt" dir="t"/>
            </a:scene3d>
            <a:sp3d>
              <a:bevelT w="0" h="0"/>
            </a:sp3d>
          </c:spPr>
          <c:dLbls>
            <c:txPr>
              <a:bodyPr rot="-5400000" vert="horz"/>
              <a:lstStyle/>
              <a:p>
                <a:pPr>
                  <a:defRPr sz="800" b="1">
                    <a:solidFill>
                      <a:srgbClr val="EB35D5"/>
                    </a:solidFill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Лист1!$A$2:$A$13</c:f>
              <c:strCache>
                <c:ptCount val="12"/>
                <c:pt idx="0">
                  <c:v>Янв</c:v>
                </c:pt>
                <c:pt idx="1">
                  <c:v>Фев</c:v>
                </c:pt>
                <c:pt idx="2">
                  <c:v>Мар</c:v>
                </c:pt>
                <c:pt idx="3">
                  <c:v>Апр</c:v>
                </c:pt>
                <c:pt idx="4">
                  <c:v>Май</c:v>
                </c:pt>
                <c:pt idx="5">
                  <c:v>Июн</c:v>
                </c:pt>
                <c:pt idx="6">
                  <c:v>Июл</c:v>
                </c:pt>
                <c:pt idx="7">
                  <c:v>Авг</c:v>
                </c:pt>
                <c:pt idx="8">
                  <c:v>Сен</c:v>
                </c:pt>
                <c:pt idx="9">
                  <c:v>Окт</c:v>
                </c:pt>
                <c:pt idx="10">
                  <c:v>Ноя</c:v>
                </c:pt>
                <c:pt idx="11">
                  <c:v>Дек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357</c:v>
                </c:pt>
                <c:pt idx="1">
                  <c:v>306</c:v>
                </c:pt>
                <c:pt idx="2">
                  <c:v>285</c:v>
                </c:pt>
                <c:pt idx="3">
                  <c:v>313</c:v>
                </c:pt>
                <c:pt idx="4">
                  <c:v>376</c:v>
                </c:pt>
                <c:pt idx="5">
                  <c:v>299</c:v>
                </c:pt>
                <c:pt idx="6">
                  <c:v>230</c:v>
                </c:pt>
                <c:pt idx="7">
                  <c:v>251</c:v>
                </c:pt>
                <c:pt idx="8">
                  <c:v>300</c:v>
                </c:pt>
                <c:pt idx="9">
                  <c:v>276</c:v>
                </c:pt>
                <c:pt idx="10">
                  <c:v>339</c:v>
                </c:pt>
                <c:pt idx="11">
                  <c:v>440</c:v>
                </c:pt>
              </c:numCache>
            </c:numRef>
          </c:val>
        </c:ser>
        <c:dLbls>
          <c:showVal val="1"/>
        </c:dLbls>
        <c:axId val="159285248"/>
        <c:axId val="159286784"/>
      </c:barChart>
      <c:catAx>
        <c:axId val="159285248"/>
        <c:scaling>
          <c:orientation val="minMax"/>
        </c:scaling>
        <c:axPos val="b"/>
        <c:numFmt formatCode="General" sourceLinked="1"/>
        <c:tickLblPos val="nextTo"/>
        <c:crossAx val="159286784"/>
        <c:crosses val="autoZero"/>
        <c:auto val="1"/>
        <c:lblAlgn val="ctr"/>
        <c:lblOffset val="100"/>
      </c:catAx>
      <c:valAx>
        <c:axId val="159286784"/>
        <c:scaling>
          <c:logBase val="10"/>
          <c:orientation val="minMax"/>
        </c:scaling>
        <c:axPos val="l"/>
        <c:numFmt formatCode="General" sourceLinked="1"/>
        <c:tickLblPos val="nextTo"/>
        <c:crossAx val="159285248"/>
        <c:crosses val="autoZero"/>
        <c:crossBetween val="between"/>
      </c:valAx>
      <c:spPr>
        <a:noFill/>
        <a:ln w="25396">
          <a:noFill/>
        </a:ln>
      </c:spPr>
    </c:plotArea>
    <c:legend>
      <c:legendPos val="b"/>
    </c:legend>
    <c:plotVisOnly val="1"/>
    <c:dispBlanksAs val="gap"/>
  </c:chart>
  <c:spPr>
    <a:ln>
      <a:noFill/>
    </a:ln>
  </c:spPr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8582434514637936E-2"/>
          <c:y val="7.0287539936102275E-2"/>
          <c:w val="0.90755007704160251"/>
          <c:h val="0.71246006389776328"/>
        </c:manualLayout>
      </c:layout>
      <c:barChart>
        <c:barDir val="col"/>
        <c:grouping val="clustered"/>
        <c:ser>
          <c:idx val="1"/>
          <c:order val="0"/>
          <c:tx>
            <c:strRef>
              <c:f>'для Word'!$B$36</c:f>
              <c:strCache>
                <c:ptCount val="1"/>
                <c:pt idx="0">
                  <c:v>Пожары, ед</c:v>
                </c:pt>
              </c:strCache>
            </c:strRef>
          </c:tx>
          <c:spPr>
            <a:gradFill rotWithShape="0">
              <a:gsLst>
                <a:gs pos="0">
                  <a:srgbClr val="0000FF"/>
                </a:gs>
                <a:gs pos="50000">
                  <a:srgbClr val="0000FF">
                    <a:gamma/>
                    <a:tint val="52941"/>
                    <a:invGamma/>
                  </a:srgbClr>
                </a:gs>
                <a:gs pos="100000">
                  <a:srgbClr val="0000FF"/>
                </a:gs>
              </a:gsLst>
              <a:lin ang="0" scaled="1"/>
            </a:gradFill>
            <a:ln w="12729">
              <a:solidFill>
                <a:srgbClr val="000000"/>
              </a:solidFill>
              <a:prstDash val="solid"/>
            </a:ln>
          </c:spPr>
          <c:dLbls>
            <c:spPr>
              <a:noFill/>
              <a:ln w="25459">
                <a:noFill/>
              </a:ln>
            </c:spPr>
            <c:txPr>
              <a:bodyPr/>
              <a:lstStyle/>
              <a:p>
                <a:pPr>
                  <a:defRPr sz="1002" b="1" i="0" u="none" strike="noStrike" baseline="0">
                    <a:solidFill>
                      <a:srgbClr val="0000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'для Word'!$A$37:$A$43</c:f>
              <c:strCache>
                <c:ptCount val="7"/>
                <c:pt idx="0">
                  <c:v>пн</c:v>
                </c:pt>
                <c:pt idx="1">
                  <c:v>вт</c:v>
                </c:pt>
                <c:pt idx="2">
                  <c:v>ср</c:v>
                </c:pt>
                <c:pt idx="3">
                  <c:v>чт</c:v>
                </c:pt>
                <c:pt idx="4">
                  <c:v>пт</c:v>
                </c:pt>
                <c:pt idx="5">
                  <c:v>сб</c:v>
                </c:pt>
                <c:pt idx="6">
                  <c:v>вс</c:v>
                </c:pt>
              </c:strCache>
            </c:strRef>
          </c:cat>
          <c:val>
            <c:numRef>
              <c:f>'для Word'!$B$37:$B$43</c:f>
              <c:numCache>
                <c:formatCode>General</c:formatCode>
                <c:ptCount val="7"/>
                <c:pt idx="0">
                  <c:v>559</c:v>
                </c:pt>
                <c:pt idx="1">
                  <c:v>488</c:v>
                </c:pt>
                <c:pt idx="2">
                  <c:v>489</c:v>
                </c:pt>
                <c:pt idx="3">
                  <c:v>496</c:v>
                </c:pt>
                <c:pt idx="4">
                  <c:v>513</c:v>
                </c:pt>
                <c:pt idx="5">
                  <c:v>625</c:v>
                </c:pt>
                <c:pt idx="6">
                  <c:v>602</c:v>
                </c:pt>
              </c:numCache>
            </c:numRef>
          </c:val>
        </c:ser>
        <c:dLbls>
          <c:showVal val="1"/>
        </c:dLbls>
        <c:gapWidth val="60"/>
        <c:axId val="163273344"/>
        <c:axId val="168538880"/>
      </c:barChart>
      <c:lineChart>
        <c:grouping val="standard"/>
        <c:ser>
          <c:idx val="0"/>
          <c:order val="1"/>
          <c:tx>
            <c:strRef>
              <c:f>'для Word'!$C$36</c:f>
              <c:strCache>
                <c:ptCount val="1"/>
                <c:pt idx="0">
                  <c:v>Погибло, чел</c:v>
                </c:pt>
              </c:strCache>
            </c:strRef>
          </c:tx>
          <c:spPr>
            <a:ln w="38188">
              <a:solidFill>
                <a:srgbClr val="FF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Mode val="edge"/>
                  <c:yMode val="edge"/>
                  <c:x val="0.1186440677966102"/>
                  <c:y val="0.30031948881789161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Mode val="edge"/>
                  <c:yMode val="edge"/>
                  <c:x val="0.24807395993836673"/>
                  <c:y val="0.34185303514376997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Mode val="edge"/>
                  <c:yMode val="edge"/>
                  <c:x val="0.38212634822804337"/>
                  <c:y val="0.36741214057507987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Mode val="edge"/>
                  <c:yMode val="edge"/>
                  <c:x val="0.51309707241910674"/>
                  <c:y val="0.34185303514376997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Mode val="edge"/>
                  <c:yMode val="edge"/>
                  <c:x val="0.63790446841294302"/>
                  <c:y val="0.34504792332268386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Mode val="edge"/>
                  <c:yMode val="edge"/>
                  <c:x val="0.76733436055469961"/>
                  <c:y val="0.35782747603833875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Mode val="edge"/>
                  <c:yMode val="edge"/>
                  <c:x val="0.89676425269645632"/>
                  <c:y val="0.34824281150159736"/>
                </c:manualLayout>
              </c:layout>
              <c:dLblPos val="r"/>
              <c:showVal val="1"/>
            </c:dLbl>
            <c:spPr>
              <a:solidFill>
                <a:srgbClr val="FFFFFF"/>
              </a:solidFill>
              <a:ln w="25459">
                <a:noFill/>
              </a:ln>
            </c:spPr>
            <c:txPr>
              <a:bodyPr/>
              <a:lstStyle/>
              <a:p>
                <a:pPr>
                  <a:defRPr sz="1002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'для Word'!$A$37:$A$43</c:f>
              <c:strCache>
                <c:ptCount val="7"/>
                <c:pt idx="0">
                  <c:v>пн</c:v>
                </c:pt>
                <c:pt idx="1">
                  <c:v>вт</c:v>
                </c:pt>
                <c:pt idx="2">
                  <c:v>ср</c:v>
                </c:pt>
                <c:pt idx="3">
                  <c:v>чт</c:v>
                </c:pt>
                <c:pt idx="4">
                  <c:v>пт</c:v>
                </c:pt>
                <c:pt idx="5">
                  <c:v>сб</c:v>
                </c:pt>
                <c:pt idx="6">
                  <c:v>вс</c:v>
                </c:pt>
              </c:strCache>
            </c:strRef>
          </c:cat>
          <c:val>
            <c:numRef>
              <c:f>'для Word'!$C$37:$C$43</c:f>
              <c:numCache>
                <c:formatCode>General</c:formatCode>
                <c:ptCount val="7"/>
                <c:pt idx="0">
                  <c:v>69</c:v>
                </c:pt>
                <c:pt idx="1">
                  <c:v>49</c:v>
                </c:pt>
                <c:pt idx="2">
                  <c:v>37</c:v>
                </c:pt>
                <c:pt idx="3">
                  <c:v>49</c:v>
                </c:pt>
                <c:pt idx="4">
                  <c:v>50</c:v>
                </c:pt>
                <c:pt idx="5">
                  <c:v>42</c:v>
                </c:pt>
                <c:pt idx="6">
                  <c:v>45</c:v>
                </c:pt>
              </c:numCache>
            </c:numRef>
          </c:val>
        </c:ser>
        <c:dLbls>
          <c:showVal val="1"/>
        </c:dLbls>
        <c:marker val="1"/>
        <c:axId val="163273344"/>
        <c:axId val="168538880"/>
      </c:lineChart>
      <c:lineChart>
        <c:grouping val="standard"/>
        <c:ser>
          <c:idx val="2"/>
          <c:order val="2"/>
          <c:tx>
            <c:strRef>
              <c:f>'для Word'!$D$36</c:f>
              <c:strCache>
                <c:ptCount val="1"/>
                <c:pt idx="0">
                  <c:v>Погибло в нетрезвом виде, чел</c:v>
                </c:pt>
              </c:strCache>
            </c:strRef>
          </c:tx>
          <c:spPr>
            <a:ln w="38188">
              <a:solidFill>
                <a:srgbClr val="FFFF00"/>
              </a:solidFill>
              <a:prstDash val="solid"/>
            </a:ln>
          </c:spPr>
          <c:marker>
            <c:symbol val="diamond"/>
            <c:size val="9"/>
            <c:spPr>
              <a:solidFill>
                <a:srgbClr val="FFFF0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Mode val="edge"/>
                  <c:yMode val="edge"/>
                  <c:x val="0.12788906009244994"/>
                  <c:y val="0.46325878594249226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Mode val="edge"/>
                  <c:yMode val="edge"/>
                  <c:x val="0.24345146379044694"/>
                  <c:y val="0.46645367412140581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Mode val="edge"/>
                  <c:yMode val="edge"/>
                  <c:x val="0.38520801232665652"/>
                  <c:y val="0.51757188498402551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Mode val="edge"/>
                  <c:yMode val="edge"/>
                  <c:x val="0.51617873651771962"/>
                  <c:y val="0.48562300319488838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Mode val="edge"/>
                  <c:yMode val="edge"/>
                  <c:x val="0.63636363636363669"/>
                  <c:y val="0.47923322683706071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Mode val="edge"/>
                  <c:yMode val="edge"/>
                  <c:x val="0.7719568567026196"/>
                  <c:y val="0.48881789137380227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Mode val="edge"/>
                  <c:yMode val="edge"/>
                  <c:x val="0.89984591679506953"/>
                  <c:y val="0.52396166134185307"/>
                </c:manualLayout>
              </c:layout>
              <c:dLblPos val="r"/>
              <c:showVal val="1"/>
            </c:dLbl>
            <c:spPr>
              <a:noFill/>
              <a:ln w="25459">
                <a:noFill/>
              </a:ln>
            </c:spPr>
            <c:txPr>
              <a:bodyPr/>
              <a:lstStyle/>
              <a:p>
                <a:pPr>
                  <a:defRPr sz="1002" b="1" i="0" u="none" strike="noStrike" baseline="0">
                    <a:solidFill>
                      <a:srgbClr val="FFFF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'для Word'!$A$37:$A$43</c:f>
              <c:strCache>
                <c:ptCount val="7"/>
                <c:pt idx="0">
                  <c:v>пн</c:v>
                </c:pt>
                <c:pt idx="1">
                  <c:v>вт</c:v>
                </c:pt>
                <c:pt idx="2">
                  <c:v>ср</c:v>
                </c:pt>
                <c:pt idx="3">
                  <c:v>чт</c:v>
                </c:pt>
                <c:pt idx="4">
                  <c:v>пт</c:v>
                </c:pt>
                <c:pt idx="5">
                  <c:v>сб</c:v>
                </c:pt>
                <c:pt idx="6">
                  <c:v>вс</c:v>
                </c:pt>
              </c:strCache>
            </c:strRef>
          </c:cat>
          <c:val>
            <c:numRef>
              <c:f>'для Word'!$D$37:$D$43</c:f>
              <c:numCache>
                <c:formatCode>General</c:formatCode>
                <c:ptCount val="7"/>
                <c:pt idx="0">
                  <c:v>24</c:v>
                </c:pt>
                <c:pt idx="1">
                  <c:v>24</c:v>
                </c:pt>
                <c:pt idx="2">
                  <c:v>16</c:v>
                </c:pt>
                <c:pt idx="3">
                  <c:v>22</c:v>
                </c:pt>
                <c:pt idx="4">
                  <c:v>26</c:v>
                </c:pt>
                <c:pt idx="5">
                  <c:v>21</c:v>
                </c:pt>
                <c:pt idx="6">
                  <c:v>16</c:v>
                </c:pt>
              </c:numCache>
            </c:numRef>
          </c:val>
        </c:ser>
        <c:dLbls>
          <c:showVal val="1"/>
        </c:dLbls>
        <c:marker val="1"/>
        <c:axId val="168691968"/>
        <c:axId val="181793152"/>
      </c:lineChart>
      <c:catAx>
        <c:axId val="163273344"/>
        <c:scaling>
          <c:orientation val="minMax"/>
        </c:scaling>
        <c:axPos val="b"/>
        <c:numFmt formatCode="General" sourceLinked="1"/>
        <c:tickLblPos val="nextTo"/>
        <c:spPr>
          <a:ln w="318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538880"/>
        <c:crosses val="autoZero"/>
        <c:lblAlgn val="ctr"/>
        <c:lblOffset val="100"/>
        <c:tickLblSkip val="1"/>
        <c:tickMarkSkip val="1"/>
      </c:catAx>
      <c:valAx>
        <c:axId val="168538880"/>
        <c:scaling>
          <c:logBase val="10"/>
          <c:orientation val="minMax"/>
        </c:scaling>
        <c:axPos val="l"/>
        <c:numFmt formatCode="General" sourceLinked="1"/>
        <c:tickLblPos val="nextTo"/>
        <c:spPr>
          <a:ln w="318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273344"/>
        <c:crosses val="autoZero"/>
        <c:crossBetween val="between"/>
      </c:valAx>
      <c:catAx>
        <c:axId val="168691968"/>
        <c:scaling>
          <c:orientation val="minMax"/>
        </c:scaling>
        <c:delete val="1"/>
        <c:axPos val="b"/>
        <c:tickLblPos val="none"/>
        <c:crossAx val="181793152"/>
        <c:crosses val="autoZero"/>
        <c:lblAlgn val="ctr"/>
        <c:lblOffset val="100"/>
      </c:catAx>
      <c:valAx>
        <c:axId val="181793152"/>
        <c:scaling>
          <c:logBase val="10"/>
          <c:orientation val="minMax"/>
        </c:scaling>
        <c:delete val="1"/>
        <c:axPos val="l"/>
        <c:numFmt formatCode="General" sourceLinked="1"/>
        <c:tickLblPos val="none"/>
        <c:crossAx val="168691968"/>
        <c:crosses val="autoZero"/>
        <c:crossBetween val="between"/>
      </c:valAx>
      <c:spPr>
        <a:noFill/>
        <a:ln w="25459">
          <a:noFill/>
        </a:ln>
      </c:spPr>
    </c:plotArea>
    <c:legend>
      <c:legendPos val="b"/>
      <c:layout>
        <c:manualLayout>
          <c:xMode val="edge"/>
          <c:yMode val="edge"/>
          <c:x val="0.18181818181818193"/>
          <c:y val="0.91373801916932929"/>
          <c:w val="0.69799691833590161"/>
          <c:h val="7.6677316293929709E-2"/>
        </c:manualLayout>
      </c:layout>
      <c:spPr>
        <a:solidFill>
          <a:srgbClr val="FFFFFF"/>
        </a:solidFill>
        <a:ln w="3182">
          <a:solidFill>
            <a:srgbClr val="000000"/>
          </a:solidFill>
          <a:prstDash val="solid"/>
        </a:ln>
      </c:spPr>
      <c:txPr>
        <a:bodyPr/>
        <a:lstStyle/>
        <a:p>
          <a:pPr>
            <a:defRPr sz="922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82">
      <a:solidFill>
        <a:srgbClr val="000000"/>
      </a:solidFill>
      <a:prstDash val="solid"/>
    </a:ln>
  </c:spPr>
  <c:txPr>
    <a:bodyPr/>
    <a:lstStyle/>
    <a:p>
      <a:pPr>
        <a:defRPr sz="100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6661562021439495E-2"/>
          <c:y val="7.1895424836601357E-2"/>
          <c:w val="0.92955589586523713"/>
          <c:h val="0.66993464052287621"/>
        </c:manualLayout>
      </c:layout>
      <c:barChart>
        <c:barDir val="col"/>
        <c:grouping val="clustered"/>
        <c:ser>
          <c:idx val="1"/>
          <c:order val="0"/>
          <c:tx>
            <c:strRef>
              <c:f>'для Word'!$B$47</c:f>
              <c:strCache>
                <c:ptCount val="1"/>
                <c:pt idx="0">
                  <c:v>Погибло всего, чел</c:v>
                </c:pt>
              </c:strCache>
            </c:strRef>
          </c:tx>
          <c:spPr>
            <a:gradFill rotWithShape="0">
              <a:gsLst>
                <a:gs pos="0">
                  <a:srgbClr val="808000"/>
                </a:gs>
                <a:gs pos="50000">
                  <a:srgbClr val="808000">
                    <a:gamma/>
                    <a:tint val="45882"/>
                    <a:invGamma/>
                  </a:srgbClr>
                </a:gs>
                <a:gs pos="100000">
                  <a:srgbClr val="808000"/>
                </a:gs>
              </a:gsLst>
              <a:lin ang="0" scaled="1"/>
            </a:gradFill>
            <a:ln w="12716">
              <a:solidFill>
                <a:srgbClr val="000000"/>
              </a:solidFill>
              <a:prstDash val="solid"/>
            </a:ln>
          </c:spPr>
          <c:dLbls>
            <c:spPr>
              <a:noFill/>
              <a:ln w="25431">
                <a:noFill/>
              </a:ln>
            </c:spPr>
            <c:txPr>
              <a:bodyPr/>
              <a:lstStyle/>
              <a:p>
                <a:pPr>
                  <a:defRPr sz="1001" b="1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'для Word'!$A$48:$A$59</c:f>
              <c:strCache>
                <c:ptCount val="12"/>
                <c:pt idx="0">
                  <c:v>0.00-1.59</c:v>
                </c:pt>
                <c:pt idx="1">
                  <c:v>2.00-3.59</c:v>
                </c:pt>
                <c:pt idx="2">
                  <c:v>4.00-5.59</c:v>
                </c:pt>
                <c:pt idx="3">
                  <c:v>6.00-7.59</c:v>
                </c:pt>
                <c:pt idx="4">
                  <c:v>8.00-9.59</c:v>
                </c:pt>
                <c:pt idx="5">
                  <c:v>10.00-11.59</c:v>
                </c:pt>
                <c:pt idx="6">
                  <c:v>12.00-13.59</c:v>
                </c:pt>
                <c:pt idx="7">
                  <c:v>14.00-15.59</c:v>
                </c:pt>
                <c:pt idx="8">
                  <c:v>16.00-17.59</c:v>
                </c:pt>
                <c:pt idx="9">
                  <c:v>18.00-19.59</c:v>
                </c:pt>
                <c:pt idx="10">
                  <c:v>20.00-21.29</c:v>
                </c:pt>
                <c:pt idx="11">
                  <c:v>22.00-23.59</c:v>
                </c:pt>
              </c:strCache>
            </c:strRef>
          </c:cat>
          <c:val>
            <c:numRef>
              <c:f>'для Word'!$B$48:$B$59</c:f>
              <c:numCache>
                <c:formatCode>General</c:formatCode>
                <c:ptCount val="12"/>
                <c:pt idx="0">
                  <c:v>55</c:v>
                </c:pt>
                <c:pt idx="1">
                  <c:v>37</c:v>
                </c:pt>
                <c:pt idx="2">
                  <c:v>47</c:v>
                </c:pt>
                <c:pt idx="3">
                  <c:v>23</c:v>
                </c:pt>
                <c:pt idx="4">
                  <c:v>15</c:v>
                </c:pt>
                <c:pt idx="5">
                  <c:v>21</c:v>
                </c:pt>
                <c:pt idx="6">
                  <c:v>18</c:v>
                </c:pt>
                <c:pt idx="7">
                  <c:v>25</c:v>
                </c:pt>
                <c:pt idx="8">
                  <c:v>19</c:v>
                </c:pt>
                <c:pt idx="9">
                  <c:v>15</c:v>
                </c:pt>
                <c:pt idx="10">
                  <c:v>20</c:v>
                </c:pt>
                <c:pt idx="11">
                  <c:v>46</c:v>
                </c:pt>
              </c:numCache>
            </c:numRef>
          </c:val>
        </c:ser>
        <c:dLbls>
          <c:showVal val="1"/>
        </c:dLbls>
        <c:gapWidth val="30"/>
        <c:axId val="76724096"/>
        <c:axId val="76725632"/>
      </c:barChart>
      <c:lineChart>
        <c:grouping val="standard"/>
        <c:ser>
          <c:idx val="0"/>
          <c:order val="1"/>
          <c:tx>
            <c:strRef>
              <c:f>'для Word'!$C$47</c:f>
              <c:strCache>
                <c:ptCount val="1"/>
                <c:pt idx="0">
                  <c:v>В состоянии алкогольного опьянения,чел</c:v>
                </c:pt>
              </c:strCache>
            </c:strRef>
          </c:tx>
          <c:spPr>
            <a:ln w="38147">
              <a:solidFill>
                <a:srgbClr val="00008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</c:marker>
          <c:dLbls>
            <c:dLbl>
              <c:idx val="0"/>
              <c:layout>
                <c:manualLayout>
                  <c:x val="-2.4789558950484524E-2"/>
                  <c:y val="-9.4143229493501637E-3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2620093116145757E-2"/>
                  <c:y val="-1.159297435556110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5044807986248092E-2"/>
                  <c:y val="-1.322691899327262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1.6749767879321392E-2"/>
                  <c:y val="-5.6015642500698284E-3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1.304890847683564E-2"/>
                  <c:y val="-1.4588721698699741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1.5473623346937979E-2"/>
                  <c:y val="-5.8738753439263247E-3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0960967367464559E-2"/>
                  <c:y val="-8.5973115932086869E-3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0322895101272793E-2"/>
                  <c:y val="-1.104843674863388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2747609971375093E-2"/>
                  <c:y val="-9.6867186239929827E-3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2109537705183337E-2"/>
                  <c:y val="-3.6953085185017047E-3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3002859007138582E-2"/>
                  <c:y val="-3.150770911574815E-3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2364786740946822E-2"/>
                  <c:y val="-3.1506863307884363E-3"/>
                </c:manualLayout>
              </c:layout>
              <c:dLblPos val="r"/>
              <c:showVal val="1"/>
            </c:dLbl>
            <c:spPr>
              <a:solidFill>
                <a:srgbClr val="CCFFFF"/>
              </a:solidFill>
              <a:ln w="25431">
                <a:noFill/>
              </a:ln>
            </c:spPr>
            <c:txPr>
              <a:bodyPr/>
              <a:lstStyle/>
              <a:p>
                <a:pPr>
                  <a:defRPr sz="801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'для Word'!$A$48:$A$59</c:f>
              <c:strCache>
                <c:ptCount val="12"/>
                <c:pt idx="0">
                  <c:v>0.00-1.59</c:v>
                </c:pt>
                <c:pt idx="1">
                  <c:v>2.00-3.59</c:v>
                </c:pt>
                <c:pt idx="2">
                  <c:v>4.00-5.59</c:v>
                </c:pt>
                <c:pt idx="3">
                  <c:v>6.00-7.59</c:v>
                </c:pt>
                <c:pt idx="4">
                  <c:v>8.00-9.59</c:v>
                </c:pt>
                <c:pt idx="5">
                  <c:v>10.00-11.59</c:v>
                </c:pt>
                <c:pt idx="6">
                  <c:v>12.00-13.59</c:v>
                </c:pt>
                <c:pt idx="7">
                  <c:v>14.00-15.59</c:v>
                </c:pt>
                <c:pt idx="8">
                  <c:v>16.00-17.59</c:v>
                </c:pt>
                <c:pt idx="9">
                  <c:v>18.00-19.59</c:v>
                </c:pt>
                <c:pt idx="10">
                  <c:v>20.00-21.29</c:v>
                </c:pt>
                <c:pt idx="11">
                  <c:v>22.00-23.59</c:v>
                </c:pt>
              </c:strCache>
            </c:strRef>
          </c:cat>
          <c:val>
            <c:numRef>
              <c:f>'для Word'!$C$48:$C$59</c:f>
              <c:numCache>
                <c:formatCode>General</c:formatCode>
                <c:ptCount val="12"/>
                <c:pt idx="0">
                  <c:v>27</c:v>
                </c:pt>
                <c:pt idx="1">
                  <c:v>11</c:v>
                </c:pt>
                <c:pt idx="2">
                  <c:v>17</c:v>
                </c:pt>
                <c:pt idx="3">
                  <c:v>13</c:v>
                </c:pt>
                <c:pt idx="4">
                  <c:v>4</c:v>
                </c:pt>
                <c:pt idx="5">
                  <c:v>8</c:v>
                </c:pt>
                <c:pt idx="6">
                  <c:v>6</c:v>
                </c:pt>
                <c:pt idx="7">
                  <c:v>9</c:v>
                </c:pt>
                <c:pt idx="8">
                  <c:v>10</c:v>
                </c:pt>
                <c:pt idx="9">
                  <c:v>12</c:v>
                </c:pt>
                <c:pt idx="10">
                  <c:v>10</c:v>
                </c:pt>
                <c:pt idx="11">
                  <c:v>22</c:v>
                </c:pt>
              </c:numCache>
            </c:numRef>
          </c:val>
        </c:ser>
        <c:dLbls>
          <c:showVal val="1"/>
        </c:dLbls>
        <c:marker val="1"/>
        <c:axId val="76735616"/>
        <c:axId val="76737152"/>
      </c:lineChart>
      <c:catAx>
        <c:axId val="76724096"/>
        <c:scaling>
          <c:orientation val="minMax"/>
        </c:scaling>
        <c:axPos val="b"/>
        <c:numFmt formatCode="@" sourceLinked="1"/>
        <c:maj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6725632"/>
        <c:crosses val="autoZero"/>
        <c:lblAlgn val="ctr"/>
        <c:lblOffset val="100"/>
        <c:tickLblSkip val="1"/>
        <c:tickMarkSkip val="1"/>
      </c:catAx>
      <c:valAx>
        <c:axId val="76725632"/>
        <c:scaling>
          <c:orientation val="minMax"/>
        </c:scaling>
        <c:axPos val="l"/>
        <c:numFmt formatCode="General" sourceLinked="1"/>
        <c:maj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6724096"/>
        <c:crosses val="autoZero"/>
        <c:crossBetween val="between"/>
      </c:valAx>
      <c:catAx>
        <c:axId val="76735616"/>
        <c:scaling>
          <c:orientation val="minMax"/>
        </c:scaling>
        <c:delete val="1"/>
        <c:axPos val="b"/>
        <c:tickLblPos val="none"/>
        <c:crossAx val="76737152"/>
        <c:crosses val="autoZero"/>
        <c:lblAlgn val="ctr"/>
        <c:lblOffset val="100"/>
      </c:catAx>
      <c:valAx>
        <c:axId val="76737152"/>
        <c:scaling>
          <c:orientation val="minMax"/>
        </c:scaling>
        <c:delete val="1"/>
        <c:axPos val="l"/>
        <c:numFmt formatCode="General" sourceLinked="1"/>
        <c:tickLblPos val="none"/>
        <c:crossAx val="76735616"/>
        <c:crosses val="autoZero"/>
        <c:crossBetween val="between"/>
      </c:valAx>
      <c:spPr>
        <a:noFill/>
        <a:ln w="25431">
          <a:noFill/>
        </a:ln>
      </c:spPr>
    </c:plotArea>
    <c:legend>
      <c:legendPos val="b"/>
      <c:layout>
        <c:manualLayout>
          <c:xMode val="edge"/>
          <c:yMode val="edge"/>
          <c:x val="0.1868300153139357"/>
          <c:y val="0.91176470588235248"/>
          <c:w val="0.66615620214395121"/>
          <c:h val="7.8431372549019607E-2"/>
        </c:manualLayout>
      </c:layout>
      <c:spPr>
        <a:solidFill>
          <a:srgbClr val="FFFFFF"/>
        </a:solidFill>
        <a:ln w="3179">
          <a:solidFill>
            <a:srgbClr val="000000"/>
          </a:solidFill>
          <a:prstDash val="solid"/>
        </a:ln>
      </c:spPr>
      <c:txPr>
        <a:bodyPr/>
        <a:lstStyle/>
        <a:p>
          <a:pPr>
            <a:defRPr sz="921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9">
      <a:solidFill>
        <a:srgbClr val="000000"/>
      </a:solidFill>
      <a:prstDash val="solid"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2013</c:v>
                </c:pt>
              </c:strCache>
            </c:strRef>
          </c:tx>
          <c:spPr>
            <a:gradFill flip="none" rotWithShape="1">
              <a:gsLst>
                <a:gs pos="0">
                  <a:srgbClr val="131DDB"/>
                </a:gs>
                <a:gs pos="50000">
                  <a:srgbClr val="4F81BD">
                    <a:lumMod val="40000"/>
                    <a:lumOff val="60000"/>
                  </a:srgbClr>
                </a:gs>
                <a:gs pos="100000">
                  <a:srgbClr val="1414F4"/>
                </a:gs>
              </a:gsLst>
              <a:lin ang="0" scaled="0"/>
              <a:tileRect/>
            </a:gradFill>
            <a:scene3d>
              <a:camera prst="orthographicFront"/>
              <a:lightRig rig="threePt" dir="t"/>
            </a:scene3d>
            <a:sp3d>
              <a:bevelT w="0" h="0"/>
            </a:sp3d>
          </c:spPr>
          <c:dLbls>
            <c:txPr>
              <a:bodyPr/>
              <a:lstStyle/>
              <a:p>
                <a:pPr>
                  <a:defRPr b="1">
                    <a:solidFill>
                      <a:srgbClr val="131DDB"/>
                    </a:solidFill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Лист1!$A$2:$A$5</c:f>
              <c:strCache>
                <c:ptCount val="4"/>
                <c:pt idx="0">
                  <c:v>Пожары</c:v>
                </c:pt>
                <c:pt idx="1">
                  <c:v>Гибель</c:v>
                </c:pt>
                <c:pt idx="2">
                  <c:v>Травмы</c:v>
                </c:pt>
                <c:pt idx="3">
                  <c:v>Ущерб (млн.руб)</c:v>
                </c:pt>
              </c:strCache>
            </c:strRef>
          </c:cat>
          <c:val>
            <c:numRef>
              <c:f>Лист1!$B$2:$B$5</c:f>
              <c:numCache>
                <c:formatCode>0</c:formatCode>
                <c:ptCount val="4"/>
                <c:pt idx="0">
                  <c:v>2888</c:v>
                </c:pt>
                <c:pt idx="1">
                  <c:v>260</c:v>
                </c:pt>
                <c:pt idx="2">
                  <c:v>300</c:v>
                </c:pt>
                <c:pt idx="3" formatCode="0.0">
                  <c:v>217.8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spPr>
            <a:gradFill>
              <a:gsLst>
                <a:gs pos="0">
                  <a:srgbClr val="EB35D5"/>
                </a:gs>
                <a:gs pos="50000">
                  <a:srgbClr val="C0504D">
                    <a:lumMod val="20000"/>
                    <a:lumOff val="80000"/>
                  </a:srgbClr>
                </a:gs>
                <a:gs pos="100000">
                  <a:srgbClr val="EB35D5"/>
                </a:gs>
              </a:gsLst>
              <a:lin ang="0" scaled="0"/>
            </a:gradFill>
            <a:scene3d>
              <a:camera prst="orthographicFront"/>
              <a:lightRig rig="threePt" dir="t"/>
            </a:scene3d>
            <a:sp3d>
              <a:bevelT w="0" h="0"/>
            </a:sp3d>
          </c:spPr>
          <c:dLbls>
            <c:txPr>
              <a:bodyPr/>
              <a:lstStyle/>
              <a:p>
                <a:pPr>
                  <a:defRPr b="1">
                    <a:solidFill>
                      <a:srgbClr val="EB35D5"/>
                    </a:solidFill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Лист1!$A$2:$A$5</c:f>
              <c:strCache>
                <c:ptCount val="4"/>
                <c:pt idx="0">
                  <c:v>Пожары</c:v>
                </c:pt>
                <c:pt idx="1">
                  <c:v>Гибель</c:v>
                </c:pt>
                <c:pt idx="2">
                  <c:v>Травмы</c:v>
                </c:pt>
                <c:pt idx="3">
                  <c:v>Ущерб (млн.руб)</c:v>
                </c:pt>
              </c:strCache>
            </c:strRef>
          </c:cat>
          <c:val>
            <c:numRef>
              <c:f>Лист1!$C$2:$C$5</c:f>
              <c:numCache>
                <c:formatCode>0</c:formatCode>
                <c:ptCount val="4"/>
                <c:pt idx="0">
                  <c:v>2907</c:v>
                </c:pt>
                <c:pt idx="1">
                  <c:v>242</c:v>
                </c:pt>
                <c:pt idx="2">
                  <c:v>280</c:v>
                </c:pt>
                <c:pt idx="3" formatCode="0.0">
                  <c:v>309.89999999999981</c:v>
                </c:pt>
              </c:numCache>
            </c:numRef>
          </c:val>
        </c:ser>
        <c:dLbls>
          <c:showVal val="1"/>
        </c:dLbls>
        <c:axId val="76680576"/>
        <c:axId val="159093888"/>
      </c:barChart>
      <c:catAx>
        <c:axId val="76680576"/>
        <c:scaling>
          <c:orientation val="minMax"/>
        </c:scaling>
        <c:axPos val="b"/>
        <c:tickLblPos val="nextTo"/>
        <c:crossAx val="159093888"/>
        <c:crosses val="autoZero"/>
        <c:auto val="1"/>
        <c:lblAlgn val="ctr"/>
        <c:lblOffset val="100"/>
      </c:catAx>
      <c:valAx>
        <c:axId val="159093888"/>
        <c:scaling>
          <c:logBase val="10"/>
          <c:orientation val="minMax"/>
        </c:scaling>
        <c:axPos val="l"/>
        <c:numFmt formatCode="0" sourceLinked="1"/>
        <c:tickLblPos val="nextTo"/>
        <c:crossAx val="76680576"/>
        <c:crosses val="autoZero"/>
        <c:crossBetween val="between"/>
      </c:valAx>
      <c:spPr>
        <a:noFill/>
        <a:ln w="25400">
          <a:noFill/>
        </a:ln>
      </c:spPr>
    </c:plotArea>
    <c:legend>
      <c:legendPos val="b"/>
    </c:legend>
    <c:plotVisOnly val="1"/>
  </c:chart>
  <c:spPr>
    <a:ln>
      <a:noFill/>
    </a:ln>
  </c:spPr>
  <c:externalData r:id="rId1"/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2013</c:v>
                </c:pt>
              </c:strCache>
            </c:strRef>
          </c:tx>
          <c:spPr>
            <a:gradFill flip="none" rotWithShape="1">
              <a:gsLst>
                <a:gs pos="0">
                  <a:srgbClr val="131DDB"/>
                </a:gs>
                <a:gs pos="50000">
                  <a:srgbClr val="4F81BD">
                    <a:lumMod val="40000"/>
                    <a:lumOff val="60000"/>
                  </a:srgbClr>
                </a:gs>
                <a:gs pos="100000">
                  <a:srgbClr val="1414F4"/>
                </a:gs>
              </a:gsLst>
              <a:lin ang="0" scaled="0"/>
              <a:tileRect/>
            </a:gradFill>
            <a:scene3d>
              <a:camera prst="orthographicFront"/>
              <a:lightRig rig="threePt" dir="t"/>
            </a:scene3d>
            <a:sp3d>
              <a:bevelT w="0" h="0"/>
            </a:sp3d>
          </c:spPr>
          <c:dLbls>
            <c:txPr>
              <a:bodyPr/>
              <a:lstStyle/>
              <a:p>
                <a:pPr>
                  <a:defRPr b="1">
                    <a:solidFill>
                      <a:srgbClr val="131DDB"/>
                    </a:solidFill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Лист1!$A$2:$A$5</c:f>
              <c:strCache>
                <c:ptCount val="4"/>
                <c:pt idx="0">
                  <c:v>Пожары</c:v>
                </c:pt>
                <c:pt idx="1">
                  <c:v>Гибель</c:v>
                </c:pt>
                <c:pt idx="2">
                  <c:v>Травмы</c:v>
                </c:pt>
                <c:pt idx="3">
                  <c:v>Ущерб (млн.руб)</c:v>
                </c:pt>
              </c:strCache>
            </c:strRef>
          </c:cat>
          <c:val>
            <c:numRef>
              <c:f>Лист1!$B$2:$B$5</c:f>
              <c:numCache>
                <c:formatCode>0</c:formatCode>
                <c:ptCount val="4"/>
                <c:pt idx="0">
                  <c:v>1000</c:v>
                </c:pt>
                <c:pt idx="1">
                  <c:v>93</c:v>
                </c:pt>
                <c:pt idx="2">
                  <c:v>51</c:v>
                </c:pt>
                <c:pt idx="3" formatCode="0.0">
                  <c:v>68.14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</c:v>
                </c:pt>
              </c:strCache>
            </c:strRef>
          </c:tx>
          <c:spPr>
            <a:gradFill>
              <a:gsLst>
                <a:gs pos="0">
                  <a:srgbClr val="EB35D5"/>
                </a:gs>
                <a:gs pos="50000">
                  <a:srgbClr val="C0504D">
                    <a:lumMod val="20000"/>
                    <a:lumOff val="80000"/>
                  </a:srgbClr>
                </a:gs>
                <a:gs pos="100000">
                  <a:srgbClr val="EB35D5"/>
                </a:gs>
              </a:gsLst>
              <a:lin ang="0" scaled="0"/>
            </a:gradFill>
            <a:scene3d>
              <a:camera prst="orthographicFront"/>
              <a:lightRig rig="threePt" dir="t"/>
            </a:scene3d>
            <a:sp3d>
              <a:bevelT w="0" h="0"/>
            </a:sp3d>
          </c:spPr>
          <c:dLbls>
            <c:txPr>
              <a:bodyPr/>
              <a:lstStyle/>
              <a:p>
                <a:pPr>
                  <a:defRPr b="1">
                    <a:solidFill>
                      <a:srgbClr val="EB35D5"/>
                    </a:solidFill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Лист1!$A$2:$A$5</c:f>
              <c:strCache>
                <c:ptCount val="4"/>
                <c:pt idx="0">
                  <c:v>Пожары</c:v>
                </c:pt>
                <c:pt idx="1">
                  <c:v>Гибель</c:v>
                </c:pt>
                <c:pt idx="2">
                  <c:v>Травмы</c:v>
                </c:pt>
                <c:pt idx="3">
                  <c:v>Ущерб (млн.руб)</c:v>
                </c:pt>
              </c:strCache>
            </c:strRef>
          </c:cat>
          <c:val>
            <c:numRef>
              <c:f>Лист1!$C$2:$C$5</c:f>
              <c:numCache>
                <c:formatCode>0</c:formatCode>
                <c:ptCount val="4"/>
                <c:pt idx="0">
                  <c:v>865</c:v>
                </c:pt>
                <c:pt idx="1">
                  <c:v>99</c:v>
                </c:pt>
                <c:pt idx="2">
                  <c:v>46</c:v>
                </c:pt>
                <c:pt idx="3" formatCode="0.0">
                  <c:v>53.61</c:v>
                </c:pt>
              </c:numCache>
            </c:numRef>
          </c:val>
        </c:ser>
        <c:dLbls>
          <c:showVal val="1"/>
        </c:dLbls>
        <c:axId val="76613504"/>
        <c:axId val="76615040"/>
      </c:barChart>
      <c:catAx>
        <c:axId val="76613504"/>
        <c:scaling>
          <c:orientation val="minMax"/>
        </c:scaling>
        <c:axPos val="b"/>
        <c:tickLblPos val="nextTo"/>
        <c:crossAx val="76615040"/>
        <c:crosses val="autoZero"/>
        <c:auto val="1"/>
        <c:lblAlgn val="ctr"/>
        <c:lblOffset val="100"/>
      </c:catAx>
      <c:valAx>
        <c:axId val="76615040"/>
        <c:scaling>
          <c:logBase val="10"/>
          <c:orientation val="minMax"/>
        </c:scaling>
        <c:axPos val="l"/>
        <c:numFmt formatCode="0" sourceLinked="1"/>
        <c:tickLblPos val="nextTo"/>
        <c:crossAx val="76613504"/>
        <c:crosses val="autoZero"/>
        <c:crossBetween val="between"/>
      </c:valAx>
      <c:spPr>
        <a:noFill/>
        <a:ln w="25400">
          <a:noFill/>
        </a:ln>
      </c:spPr>
    </c:plotArea>
    <c:legend>
      <c:legendPos val="b"/>
    </c:legend>
    <c:plotVisOnly val="1"/>
  </c:chart>
  <c:spPr>
    <a:ln>
      <a:noFill/>
    </a:ln>
  </c:spPr>
  <c:externalData r:id="rId1"/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60"/>
      <c:perspective val="30"/>
    </c:view3D>
    <c:plotArea>
      <c:layout>
        <c:manualLayout>
          <c:layoutTarget val="inner"/>
          <c:xMode val="edge"/>
          <c:yMode val="edge"/>
          <c:x val="0.10691689523443344"/>
          <c:y val="0.21578982370754204"/>
          <c:w val="0.82849752083089567"/>
          <c:h val="0.703900873646882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0"/>
            <c:spPr>
              <a:gradFill flip="none" rotWithShape="1">
                <a:gsLst>
                  <a:gs pos="0">
                    <a:srgbClr val="131DDB"/>
                  </a:gs>
                  <a:gs pos="50000">
                    <a:schemeClr val="accent1">
                      <a:lumMod val="20000"/>
                      <a:lumOff val="80000"/>
                    </a:schemeClr>
                  </a:gs>
                  <a:gs pos="100000">
                    <a:srgbClr val="1414F4"/>
                  </a:gs>
                </a:gsLst>
                <a:lin ang="5400000" scaled="1"/>
                <a:tileRect/>
              </a:gradFill>
            </c:spPr>
          </c:dPt>
          <c:dPt>
            <c:idx val="1"/>
            <c:spPr>
              <a:gradFill flip="none" rotWithShape="1">
                <a:gsLst>
                  <a:gs pos="0">
                    <a:srgbClr val="F79646">
                      <a:lumMod val="75000"/>
                    </a:srgbClr>
                  </a:gs>
                  <a:gs pos="50000">
                    <a:srgbClr val="F79646">
                      <a:lumMod val="40000"/>
                      <a:lumOff val="60000"/>
                    </a:srgbClr>
                  </a:gs>
                  <a:gs pos="100000">
                    <a:schemeClr val="accent6">
                      <a:lumMod val="75000"/>
                    </a:schemeClr>
                  </a:gs>
                </a:gsLst>
                <a:lin ang="5400000" scaled="1"/>
                <a:tileRect/>
              </a:gradFill>
            </c:spPr>
          </c:dPt>
          <c:dPt>
            <c:idx val="2"/>
            <c:spPr>
              <a:gradFill>
                <a:gsLst>
                  <a:gs pos="0">
                    <a:srgbClr val="28E509"/>
                  </a:gs>
                  <a:gs pos="50000">
                    <a:srgbClr val="9BBB59">
                      <a:lumMod val="40000"/>
                      <a:lumOff val="60000"/>
                    </a:srgbClr>
                  </a:gs>
                  <a:gs pos="100000">
                    <a:srgbClr val="28E509"/>
                  </a:gs>
                </a:gsLst>
                <a:lin ang="5400000" scaled="1"/>
              </a:gradFill>
            </c:spPr>
          </c:dPt>
          <c:dPt>
            <c:idx val="3"/>
            <c:spPr>
              <a:gradFill>
                <a:gsLst>
                  <a:gs pos="0">
                    <a:srgbClr val="C0504D">
                      <a:lumMod val="75000"/>
                    </a:srgbClr>
                  </a:gs>
                  <a:gs pos="50000">
                    <a:srgbClr val="C0504D">
                      <a:lumMod val="40000"/>
                      <a:lumOff val="60000"/>
                    </a:srgbClr>
                  </a:gs>
                  <a:gs pos="100000">
                    <a:schemeClr val="accent2">
                      <a:lumMod val="75000"/>
                    </a:schemeClr>
                  </a:gs>
                </a:gsLst>
                <a:lin ang="0" scaled="1"/>
              </a:gradFill>
            </c:spPr>
          </c:dPt>
          <c:dPt>
            <c:idx val="5"/>
            <c:spPr>
              <a:gradFill>
                <a:gsLst>
                  <a:gs pos="0">
                    <a:srgbClr val="00B0F0"/>
                  </a:gs>
                  <a:gs pos="50000">
                    <a:srgbClr val="4BACC6">
                      <a:lumMod val="20000"/>
                      <a:lumOff val="80000"/>
                    </a:srgbClr>
                  </a:gs>
                  <a:gs pos="100000">
                    <a:srgbClr val="00B0F0"/>
                  </a:gs>
                </a:gsLst>
                <a:lin ang="0" scaled="1"/>
              </a:gradFill>
            </c:spPr>
          </c:dPt>
          <c:dPt>
            <c:idx val="6"/>
            <c:spPr>
              <a:gradFill flip="none" rotWithShape="1">
                <a:gsLst>
                  <a:gs pos="0">
                    <a:srgbClr val="FF0000"/>
                  </a:gs>
                  <a:gs pos="50000">
                    <a:schemeClr val="accent1">
                      <a:lumMod val="20000"/>
                      <a:lumOff val="80000"/>
                    </a:schemeClr>
                  </a:gs>
                  <a:gs pos="100000">
                    <a:srgbClr val="FF0000"/>
                  </a:gs>
                </a:gsLst>
                <a:lin ang="5400000" scaled="1"/>
                <a:tileRect/>
              </a:gradFill>
            </c:spPr>
          </c:dPt>
          <c:dPt>
            <c:idx val="7"/>
            <c:spPr>
              <a:gradFill flip="none" rotWithShape="1">
                <a:gsLst>
                  <a:gs pos="0">
                    <a:srgbClr val="EB35D5"/>
                  </a:gs>
                  <a:gs pos="50000">
                    <a:srgbClr val="C0504D">
                      <a:lumMod val="20000"/>
                      <a:lumOff val="80000"/>
                    </a:srgbClr>
                  </a:gs>
                  <a:gs pos="100000">
                    <a:srgbClr val="EB35D5"/>
                  </a:gs>
                </a:gsLst>
                <a:lin ang="2700000" scaled="1"/>
                <a:tileRect/>
              </a:gradFill>
            </c:spPr>
          </c:dPt>
          <c:dPt>
            <c:idx val="8"/>
            <c:spPr>
              <a:gradFill>
                <a:gsLst>
                  <a:gs pos="0">
                    <a:srgbClr val="9BBB59">
                      <a:lumMod val="75000"/>
                    </a:srgbClr>
                  </a:gs>
                  <a:gs pos="50000">
                    <a:srgbClr val="9BBB59">
                      <a:lumMod val="40000"/>
                      <a:lumOff val="60000"/>
                    </a:srgbClr>
                  </a:gs>
                  <a:gs pos="100000">
                    <a:schemeClr val="accent3">
                      <a:lumMod val="75000"/>
                    </a:schemeClr>
                  </a:gs>
                </a:gsLst>
                <a:lin ang="0" scaled="1"/>
              </a:gradFill>
            </c:spPr>
          </c:dPt>
          <c:dPt>
            <c:idx val="9"/>
            <c:spPr>
              <a:gradFill flip="none" rotWithShape="1">
                <a:gsLst>
                  <a:gs pos="0">
                    <a:srgbClr val="7030A0"/>
                  </a:gs>
                  <a:gs pos="50000">
                    <a:srgbClr val="8064A2">
                      <a:lumMod val="40000"/>
                      <a:lumOff val="60000"/>
                    </a:srgbClr>
                  </a:gs>
                  <a:gs pos="100000">
                    <a:srgbClr val="7030A0"/>
                  </a:gs>
                </a:gsLst>
                <a:lin ang="0" scaled="1"/>
                <a:tileRect/>
              </a:gradFill>
            </c:spPr>
          </c:dPt>
          <c:dLbls>
            <c:dLbl>
              <c:idx val="0"/>
              <c:layout>
                <c:manualLayout>
                  <c:x val="-0.19133533064445021"/>
                  <c:y val="-5.3064270092956493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0.10390046690636939"/>
                  <c:y val="0.3267425467158823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0.12660750869699561"/>
                  <c:y val="9.0305359804651056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-7.8362103369098393E-2"/>
                  <c:y val="-2.303351440412903E-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3.67864038184934E-2"/>
                  <c:y val="-0.11404361228403043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0.15454496138933699"/>
                  <c:y val="-3.3706257231486597E-2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6.3913004030787104E-2"/>
                  <c:y val="-3.6862606367921345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6.8293542556114098E-2"/>
                  <c:y val="-6.4985973135691072E-2"/>
                </c:manualLayout>
              </c:layout>
              <c:showCatName val="1"/>
              <c:showPercent val="1"/>
            </c:dLbl>
            <c:dLbl>
              <c:idx val="8"/>
              <c:layout>
                <c:manualLayout>
                  <c:x val="3.7675613326151221E-2"/>
                  <c:y val="0.24965764144639854"/>
                </c:manualLayout>
              </c:layout>
              <c:showCatName val="1"/>
              <c:showPercent val="1"/>
            </c:dLbl>
            <c:dLbl>
              <c:idx val="9"/>
              <c:layout>
                <c:manualLayout>
                  <c:x val="0.10597914878254752"/>
                  <c:y val="6.1919109021657065E-2"/>
                </c:manualLayout>
              </c:layout>
              <c:showCatName val="1"/>
              <c:showPercent val="1"/>
            </c:dLbl>
            <c:numFmt formatCode="0.0%" sourceLinked="0"/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Лист1!$A$2:$A$11</c:f>
              <c:strCache>
                <c:ptCount val="10"/>
                <c:pt idx="0">
                  <c:v>жилой сектор</c:v>
                </c:pt>
                <c:pt idx="1">
                  <c:v>общественного 
назначения</c:v>
                </c:pt>
                <c:pt idx="2">
                  <c:v>производственные</c:v>
                </c:pt>
                <c:pt idx="3">
                  <c:v>складские</c:v>
                </c:pt>
                <c:pt idx="4">
                  <c:v>с/х объекты</c:v>
                </c:pt>
                <c:pt idx="5">
                  <c:v>строящиеся</c:v>
                </c:pt>
                <c:pt idx="6">
                  <c:v>транспорт</c:v>
                </c:pt>
                <c:pt idx="7">
                  <c:v>прочие</c:v>
                </c:pt>
                <c:pt idx="8">
                  <c:v>сооружения, 
установки</c:v>
                </c:pt>
                <c:pt idx="9">
                  <c:v>открытые 
территории</c:v>
                </c:pt>
              </c:strCache>
            </c:strRef>
          </c:cat>
          <c:val>
            <c:numRef>
              <c:f>Лист1!$B$2:$B$11</c:f>
              <c:numCache>
                <c:formatCode>0</c:formatCode>
                <c:ptCount val="10"/>
                <c:pt idx="0">
                  <c:v>2660</c:v>
                </c:pt>
                <c:pt idx="1">
                  <c:v>139</c:v>
                </c:pt>
                <c:pt idx="2">
                  <c:v>51</c:v>
                </c:pt>
                <c:pt idx="3">
                  <c:v>24</c:v>
                </c:pt>
                <c:pt idx="4">
                  <c:v>5</c:v>
                </c:pt>
                <c:pt idx="5">
                  <c:v>12</c:v>
                </c:pt>
                <c:pt idx="6">
                  <c:v>734</c:v>
                </c:pt>
                <c:pt idx="7">
                  <c:v>114</c:v>
                </c:pt>
                <c:pt idx="8">
                  <c:v>19</c:v>
                </c:pt>
                <c:pt idx="9">
                  <c:v>14</c:v>
                </c:pt>
              </c:numCache>
            </c:numRef>
          </c:val>
        </c:ser>
        <c:dLbls>
          <c:showVal val="1"/>
        </c:dLbls>
      </c:pie3DChart>
    </c:plotArea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180"/>
      <c:perspective val="30"/>
    </c:view3D>
    <c:plotArea>
      <c:layout>
        <c:manualLayout>
          <c:layoutTarget val="inner"/>
          <c:xMode val="edge"/>
          <c:yMode val="edge"/>
          <c:x val="0.14070888707767984"/>
          <c:y val="0.16028772040596045"/>
          <c:w val="0.71858222584463938"/>
          <c:h val="0.6105651710173222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3"/>
          <c:dPt>
            <c:idx val="0"/>
            <c:spPr>
              <a:gradFill>
                <a:gsLst>
                  <a:gs pos="0">
                    <a:srgbClr val="1414F4"/>
                  </a:gs>
                  <a:gs pos="50000">
                    <a:srgbClr val="1F497D">
                      <a:lumMod val="20000"/>
                      <a:lumOff val="80000"/>
                    </a:srgbClr>
                  </a:gs>
                  <a:gs pos="100000">
                    <a:srgbClr val="1414F4"/>
                  </a:gs>
                </a:gsLst>
                <a:lin ang="5400000" scaled="1"/>
              </a:gradFill>
            </c:spPr>
          </c:dPt>
          <c:dPt>
            <c:idx val="1"/>
            <c:spPr>
              <a:gradFill>
                <a:gsLst>
                  <a:gs pos="0">
                    <a:srgbClr val="FF0000"/>
                  </a:gs>
                  <a:gs pos="50000">
                    <a:srgbClr val="C0504D">
                      <a:lumMod val="20000"/>
                      <a:lumOff val="80000"/>
                    </a:srgbClr>
                  </a:gs>
                  <a:gs pos="100000">
                    <a:srgbClr val="FF0000"/>
                  </a:gs>
                </a:gsLst>
                <a:lin ang="5400000" scaled="1"/>
              </a:gradFill>
            </c:spPr>
          </c:dPt>
          <c:dPt>
            <c:idx val="2"/>
            <c:spPr>
              <a:gradFill>
                <a:gsLst>
                  <a:gs pos="0">
                    <a:srgbClr val="28E509"/>
                  </a:gs>
                  <a:gs pos="50000">
                    <a:srgbClr val="9BBB59">
                      <a:lumMod val="40000"/>
                      <a:lumOff val="60000"/>
                    </a:srgbClr>
                  </a:gs>
                  <a:gs pos="100000">
                    <a:srgbClr val="28E509"/>
                  </a:gs>
                </a:gsLst>
                <a:lin ang="5400000" scaled="1"/>
              </a:gradFill>
            </c:spPr>
          </c:dPt>
          <c:dPt>
            <c:idx val="3"/>
            <c:spPr>
              <a:gradFill>
                <a:gsLst>
                  <a:gs pos="0">
                    <a:srgbClr val="4023BB"/>
                  </a:gs>
                  <a:gs pos="50000">
                    <a:schemeClr val="accent4">
                      <a:lumMod val="40000"/>
                      <a:lumOff val="60000"/>
                    </a:schemeClr>
                  </a:gs>
                  <a:gs pos="100000">
                    <a:srgbClr val="4023BB"/>
                  </a:gs>
                </a:gsLst>
                <a:lin ang="5400000" scaled="1"/>
              </a:gradFill>
            </c:spPr>
          </c:dPt>
          <c:dPt>
            <c:idx val="4"/>
            <c:spPr>
              <a:gradFill>
                <a:gsLst>
                  <a:gs pos="0">
                    <a:srgbClr val="34BAF6"/>
                  </a:gs>
                  <a:gs pos="50000">
                    <a:srgbClr val="4BACC6">
                      <a:lumMod val="40000"/>
                      <a:lumOff val="60000"/>
                    </a:srgbClr>
                  </a:gs>
                  <a:gs pos="100000">
                    <a:srgbClr val="34BAF6"/>
                  </a:gs>
                </a:gsLst>
                <a:lin ang="5400000" scaled="1"/>
              </a:gradFill>
            </c:spPr>
          </c:dPt>
          <c:dPt>
            <c:idx val="5"/>
            <c:spPr>
              <a:gradFill>
                <a:gsLst>
                  <a:gs pos="0">
                    <a:srgbClr val="EE4A00"/>
                  </a:gs>
                  <a:gs pos="50000">
                    <a:srgbClr val="F79646">
                      <a:lumMod val="40000"/>
                      <a:lumOff val="60000"/>
                    </a:srgbClr>
                  </a:gs>
                  <a:gs pos="100000">
                    <a:srgbClr val="EE4A00"/>
                  </a:gs>
                </a:gsLst>
                <a:lin ang="5400000" scaled="1"/>
              </a:gradFill>
            </c:spPr>
          </c:dPt>
          <c:dPt>
            <c:idx val="6"/>
            <c:spPr>
              <a:gradFill>
                <a:gsLst>
                  <a:gs pos="0">
                    <a:srgbClr val="7030A0"/>
                  </a:gs>
                  <a:gs pos="50000">
                    <a:srgbClr val="8064A2">
                      <a:lumMod val="40000"/>
                      <a:lumOff val="60000"/>
                    </a:srgbClr>
                  </a:gs>
                  <a:gs pos="100000">
                    <a:srgbClr val="7030A0"/>
                  </a:gs>
                </a:gsLst>
                <a:lin ang="0" scaled="0"/>
              </a:gradFill>
            </c:spPr>
          </c:dPt>
          <c:dPt>
            <c:idx val="7"/>
            <c:spPr>
              <a:gradFill>
                <a:gsLst>
                  <a:gs pos="0">
                    <a:srgbClr val="EEECE1">
                      <a:lumMod val="50000"/>
                    </a:srgbClr>
                  </a:gs>
                  <a:gs pos="50000">
                    <a:srgbClr val="EEECE1">
                      <a:lumMod val="90000"/>
                    </a:srgbClr>
                  </a:gs>
                  <a:gs pos="100000">
                    <a:schemeClr val="bg2">
                      <a:lumMod val="25000"/>
                    </a:schemeClr>
                  </a:gs>
                </a:gsLst>
                <a:lin ang="0" scaled="0"/>
              </a:gradFill>
            </c:spPr>
          </c:dPt>
          <c:dPt>
            <c:idx val="8"/>
            <c:spPr>
              <a:gradFill>
                <a:gsLst>
                  <a:gs pos="0">
                    <a:srgbClr val="EB35D5"/>
                  </a:gs>
                  <a:gs pos="50000">
                    <a:srgbClr val="C0504D">
                      <a:lumMod val="20000"/>
                      <a:lumOff val="80000"/>
                    </a:srgbClr>
                  </a:gs>
                  <a:gs pos="100000">
                    <a:srgbClr val="EB35D5"/>
                  </a:gs>
                </a:gsLst>
                <a:lin ang="0" scaled="0"/>
              </a:gradFill>
            </c:spPr>
          </c:dPt>
          <c:dPt>
            <c:idx val="9"/>
            <c:spPr>
              <a:gradFill>
                <a:gsLst>
                  <a:gs pos="0">
                    <a:srgbClr val="9BBB59">
                      <a:lumMod val="75000"/>
                    </a:srgbClr>
                  </a:gs>
                  <a:gs pos="50000">
                    <a:srgbClr val="9BBB59">
                      <a:lumMod val="40000"/>
                      <a:lumOff val="60000"/>
                    </a:srgbClr>
                  </a:gs>
                  <a:gs pos="100000">
                    <a:schemeClr val="accent3">
                      <a:lumMod val="75000"/>
                    </a:schemeClr>
                  </a:gs>
                </a:gsLst>
                <a:lin ang="0" scaled="0"/>
              </a:gradFill>
            </c:spPr>
          </c:dPt>
          <c:dLbls>
            <c:dLbl>
              <c:idx val="0"/>
              <c:layout>
                <c:manualLayout>
                  <c:x val="-9.3592607380868748E-2"/>
                  <c:y val="-0.11466254426332613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5.2843891820314903E-2"/>
                  <c:y val="-1.5448787467655285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2.6973519634543374E-2"/>
                  <c:y val="-4.6618370344843903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6.5628285579376264E-2"/>
                  <c:y val="-4.6494081030048665E-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4.972402173473451E-2"/>
                  <c:y val="-6.9379777113316429E-2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0.1639931540946194"/>
                  <c:y val="-5.8858959996370107E-2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0.21471297111993959"/>
                  <c:y val="5.1025285934215812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5.8221319539440895E-2"/>
                  <c:y val="7.7489019244201984E-2"/>
                </c:manualLayout>
              </c:layout>
              <c:showCatName val="1"/>
              <c:showPercent val="1"/>
            </c:dLbl>
            <c:dLbl>
              <c:idx val="8"/>
              <c:layout>
                <c:manualLayout>
                  <c:x val="-0.12490864664213269"/>
                  <c:y val="6.5333340150039984E-2"/>
                </c:manualLayout>
              </c:layout>
              <c:showCatName val="1"/>
              <c:showPercent val="1"/>
            </c:dLbl>
            <c:dLbl>
              <c:idx val="9"/>
              <c:layout>
                <c:manualLayout>
                  <c:x val="-0.33761837655908306"/>
                  <c:y val="2.9658105948236913E-2"/>
                </c:manualLayout>
              </c:layout>
              <c:showCatName val="1"/>
              <c:showPercent val="1"/>
            </c:dLbl>
            <c:numFmt formatCode="0.0%" sourceLinked="0"/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Лист1!$A$2:$A$11</c:f>
              <c:strCache>
                <c:ptCount val="10"/>
                <c:pt idx="0">
                  <c:v>НОСО</c:v>
                </c:pt>
                <c:pt idx="1">
                  <c:v>электро оборудование</c:v>
                </c:pt>
                <c:pt idx="2">
                  <c:v>печное отопление</c:v>
                </c:pt>
                <c:pt idx="3">
                  <c:v>НПУиЭ транспорта</c:v>
                </c:pt>
                <c:pt idx="4">
                  <c:v>поджоги</c:v>
                </c:pt>
                <c:pt idx="5">
                  <c:v>прочие</c:v>
                </c:pt>
                <c:pt idx="6">
                  <c:v>нарушение технологии </c:v>
                </c:pt>
                <c:pt idx="7">
                  <c:v>не установлено</c:v>
                </c:pt>
                <c:pt idx="8">
                  <c:v>теплогенерирующие уст-ки</c:v>
                </c:pt>
                <c:pt idx="9">
                  <c:v>сварочные и огневые работы</c:v>
                </c:pt>
              </c:strCache>
            </c:strRef>
          </c:cat>
          <c:val>
            <c:numRef>
              <c:f>Лист1!$B$2:$B$11</c:f>
              <c:numCache>
                <c:formatCode>0</c:formatCode>
                <c:ptCount val="10"/>
                <c:pt idx="0">
                  <c:v>952</c:v>
                </c:pt>
                <c:pt idx="1">
                  <c:v>1070</c:v>
                </c:pt>
                <c:pt idx="2">
                  <c:v>579</c:v>
                </c:pt>
                <c:pt idx="3">
                  <c:v>329</c:v>
                </c:pt>
                <c:pt idx="4">
                  <c:v>642</c:v>
                </c:pt>
                <c:pt idx="5">
                  <c:v>95</c:v>
                </c:pt>
                <c:pt idx="6">
                  <c:v>23</c:v>
                </c:pt>
                <c:pt idx="7">
                  <c:v>28</c:v>
                </c:pt>
                <c:pt idx="8">
                  <c:v>24</c:v>
                </c:pt>
                <c:pt idx="9">
                  <c:v>30</c:v>
                </c:pt>
              </c:numCache>
            </c:numRef>
          </c:val>
        </c:ser>
        <c:dLbls>
          <c:showVal val="1"/>
        </c:dLbls>
      </c:pie3DChart>
    </c:plotArea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33282904689863851"/>
          <c:y val="3.437500000000001E-2"/>
          <c:w val="0.5658093797276853"/>
          <c:h val="0.85312500000000024"/>
        </c:manualLayout>
      </c:layout>
      <c:barChart>
        <c:barDir val="bar"/>
        <c:grouping val="clustered"/>
        <c:ser>
          <c:idx val="0"/>
          <c:order val="0"/>
          <c:tx>
            <c:strRef>
              <c:f>'для Word'!$B$123</c:f>
              <c:strCache>
                <c:ptCount val="1"/>
                <c:pt idx="0">
                  <c:v>2013</c:v>
                </c:pt>
              </c:strCache>
            </c:strRef>
          </c:tx>
          <c:spPr>
            <a:gradFill rotWithShape="0">
              <a:gsLst>
                <a:gs pos="0">
                  <a:srgbClr val="9999FF"/>
                </a:gs>
                <a:gs pos="50000">
                  <a:srgbClr val="9999FF">
                    <a:gamma/>
                    <a:tint val="25098"/>
                    <a:invGamma/>
                  </a:srgbClr>
                </a:gs>
                <a:gs pos="100000">
                  <a:srgbClr val="9999FF"/>
                </a:gs>
              </a:gsLst>
              <a:lin ang="5400000" scaled="1"/>
            </a:gradFill>
            <a:ln w="12723">
              <a:solidFill>
                <a:srgbClr val="000000"/>
              </a:solidFill>
              <a:prstDash val="solid"/>
            </a:ln>
          </c:spPr>
          <c:dLbls>
            <c:spPr>
              <a:noFill/>
              <a:ln w="25445">
                <a:noFill/>
              </a:ln>
            </c:spPr>
            <c:txPr>
              <a:bodyPr/>
              <a:lstStyle/>
              <a:p>
                <a:pPr>
                  <a:defRPr sz="801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'для Word'!$A$124:$A$131</c:f>
              <c:strCache>
                <c:ptCount val="8"/>
                <c:pt idx="0">
                  <c:v>Отравление продуктами горения</c:v>
                </c:pt>
                <c:pt idx="1">
                  <c:v>Воздействие высокой температуры</c:v>
                </c:pt>
                <c:pt idx="2">
                  <c:v>Недостаток кислорода</c:v>
                </c:pt>
                <c:pt idx="3">
                  <c:v>Обрушение конструкций</c:v>
                </c:pt>
                <c:pt idx="4">
                  <c:v>Обострение хронических заболеваний</c:v>
                </c:pt>
                <c:pt idx="5">
                  <c:v>Падение с высоты</c:v>
                </c:pt>
                <c:pt idx="6">
                  <c:v>Паника</c:v>
                </c:pt>
                <c:pt idx="7">
                  <c:v>Прочие</c:v>
                </c:pt>
              </c:strCache>
            </c:strRef>
          </c:cat>
          <c:val>
            <c:numRef>
              <c:f>'для Word'!$B$124:$B$131</c:f>
              <c:numCache>
                <c:formatCode>General</c:formatCode>
                <c:ptCount val="8"/>
                <c:pt idx="0">
                  <c:v>272</c:v>
                </c:pt>
                <c:pt idx="1">
                  <c:v>37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  <c:pt idx="6">
                  <c:v>0</c:v>
                </c:pt>
                <c:pt idx="7">
                  <c:v>41</c:v>
                </c:pt>
              </c:numCache>
            </c:numRef>
          </c:val>
        </c:ser>
        <c:ser>
          <c:idx val="1"/>
          <c:order val="1"/>
          <c:tx>
            <c:strRef>
              <c:f>'для Word'!$C$123</c:f>
              <c:strCache>
                <c:ptCount val="1"/>
                <c:pt idx="0">
                  <c:v>2014</c:v>
                </c:pt>
              </c:strCache>
            </c:strRef>
          </c:tx>
          <c:spPr>
            <a:gradFill rotWithShape="0">
              <a:gsLst>
                <a:gs pos="0">
                  <a:srgbClr val="FF0000"/>
                </a:gs>
                <a:gs pos="50000">
                  <a:srgbClr val="FF0000">
                    <a:gamma/>
                    <a:tint val="27451"/>
                    <a:invGamma/>
                  </a:srgbClr>
                </a:gs>
                <a:gs pos="100000">
                  <a:srgbClr val="FF0000"/>
                </a:gs>
              </a:gsLst>
              <a:lin ang="5400000" scaled="1"/>
            </a:gradFill>
            <a:ln w="12723">
              <a:solidFill>
                <a:srgbClr val="000000"/>
              </a:solidFill>
              <a:prstDash val="solid"/>
            </a:ln>
          </c:spPr>
          <c:dLbls>
            <c:spPr>
              <a:noFill/>
              <a:ln w="25445">
                <a:noFill/>
              </a:ln>
            </c:spPr>
            <c:txPr>
              <a:bodyPr/>
              <a:lstStyle/>
              <a:p>
                <a:pPr>
                  <a:defRPr sz="801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'для Word'!$A$124:$A$131</c:f>
              <c:strCache>
                <c:ptCount val="8"/>
                <c:pt idx="0">
                  <c:v>Отравление продуктами горения</c:v>
                </c:pt>
                <c:pt idx="1">
                  <c:v>Воздействие высокой температуры</c:v>
                </c:pt>
                <c:pt idx="2">
                  <c:v>Недостаток кислорода</c:v>
                </c:pt>
                <c:pt idx="3">
                  <c:v>Обрушение конструкций</c:v>
                </c:pt>
                <c:pt idx="4">
                  <c:v>Обострение хронических заболеваний</c:v>
                </c:pt>
                <c:pt idx="5">
                  <c:v>Падение с высоты</c:v>
                </c:pt>
                <c:pt idx="6">
                  <c:v>Паника</c:v>
                </c:pt>
                <c:pt idx="7">
                  <c:v>Прочие</c:v>
                </c:pt>
              </c:strCache>
            </c:strRef>
          </c:cat>
          <c:val>
            <c:numRef>
              <c:f>'для Word'!$C$124:$C$131</c:f>
              <c:numCache>
                <c:formatCode>General</c:formatCode>
                <c:ptCount val="8"/>
                <c:pt idx="0">
                  <c:v>256</c:v>
                </c:pt>
                <c:pt idx="1">
                  <c:v>48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  <c:pt idx="6">
                  <c:v>1</c:v>
                </c:pt>
                <c:pt idx="7">
                  <c:v>33</c:v>
                </c:pt>
              </c:numCache>
            </c:numRef>
          </c:val>
        </c:ser>
        <c:dLbls>
          <c:showVal val="1"/>
        </c:dLbls>
        <c:axId val="182242304"/>
        <c:axId val="185860864"/>
      </c:barChart>
      <c:catAx>
        <c:axId val="182242304"/>
        <c:scaling>
          <c:orientation val="minMax"/>
        </c:scaling>
        <c:axPos val="l"/>
        <c:numFmt formatCode="General" sourceLinked="1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5860864"/>
        <c:crosses val="autoZero"/>
        <c:auto val="1"/>
        <c:lblAlgn val="ctr"/>
        <c:lblOffset val="100"/>
        <c:tickLblSkip val="1"/>
        <c:tickMarkSkip val="1"/>
      </c:catAx>
      <c:valAx>
        <c:axId val="185860864"/>
        <c:scaling>
          <c:orientation val="minMax"/>
        </c:scaling>
        <c:axPos val="b"/>
        <c:majorGridlines>
          <c:spPr>
            <a:ln w="3181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82242304"/>
        <c:crosses val="autoZero"/>
        <c:crossBetween val="between"/>
        <c:majorUnit val="50"/>
        <c:minorUnit val="10"/>
      </c:valAx>
      <c:spPr>
        <a:noFill/>
        <a:ln w="25445">
          <a:noFill/>
        </a:ln>
      </c:spPr>
    </c:plotArea>
    <c:legend>
      <c:legendPos val="r"/>
      <c:layout>
        <c:manualLayout>
          <c:xMode val="edge"/>
          <c:yMode val="edge"/>
          <c:x val="0.93040847201210308"/>
          <c:y val="0.39687500000000026"/>
          <c:w val="6.3540090771558241E-2"/>
          <c:h val="0.12187500000000002"/>
        </c:manualLayout>
      </c:layout>
      <c:spPr>
        <a:solidFill>
          <a:srgbClr val="FFFFFF"/>
        </a:solidFill>
        <a:ln w="3181">
          <a:solidFill>
            <a:srgbClr val="000000"/>
          </a:solidFill>
          <a:prstDash val="solid"/>
        </a:ln>
      </c:spPr>
      <c:txPr>
        <a:bodyPr/>
        <a:lstStyle/>
        <a:p>
          <a:pPr>
            <a:defRPr sz="736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81">
      <a:solidFill>
        <a:srgbClr val="000000"/>
      </a:solidFill>
      <a:prstDash val="solid"/>
    </a:ln>
  </c:spPr>
  <c:txPr>
    <a:bodyPr/>
    <a:lstStyle/>
    <a:p>
      <a:pPr>
        <a:defRPr sz="801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0.15718</cdr:x>
      <cdr:y>0.50236</cdr:y>
    </cdr:from>
    <cdr:to>
      <cdr:x>0.24713</cdr:x>
      <cdr:y>0.57776</cdr:y>
    </cdr:to>
    <cdr:sp macro="" textlink="">
      <cdr:nvSpPr>
        <cdr:cNvPr id="2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984823" y="1371600"/>
          <a:ext cx="563588" cy="205870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0.82697</cdr:x>
      <cdr:y>0.51651</cdr:y>
    </cdr:from>
    <cdr:to>
      <cdr:x>0.91368</cdr:x>
      <cdr:y>0.58403</cdr:y>
    </cdr:to>
    <cdr:sp macro="" textlink="">
      <cdr:nvSpPr>
        <cdr:cNvPr id="3" name="AutoShape 1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181440" y="1410237"/>
          <a:ext cx="543288" cy="184352"/>
        </a:xfrm>
        <a:prstGeom xmlns:a="http://schemas.openxmlformats.org/drawingml/2006/main" prst="curvedUpArrow">
          <a:avLst>
            <a:gd name="adj1" fmla="val 61482"/>
            <a:gd name="adj2" fmla="val 122964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0.14797</cdr:x>
      <cdr:y>0.62978</cdr:y>
    </cdr:from>
    <cdr:to>
      <cdr:x>0.25789</cdr:x>
      <cdr:y>0.73038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927547" y="2015543"/>
          <a:ext cx="689020" cy="32197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Times New Roman" pitchFamily="18" charset="0"/>
              <a:cs typeface="Times New Roman" pitchFamily="18" charset="0"/>
            </a:rPr>
            <a:t>-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3,0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%</a:t>
          </a:r>
          <a:endParaRPr lang="ru-RU" sz="12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0.36884</cdr:x>
      <cdr:y>0.62374</cdr:y>
    </cdr:from>
    <cdr:to>
      <cdr:x>0.47876</cdr:x>
      <cdr:y>0.73113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310994" y="1703010"/>
          <a:ext cx="688711" cy="29321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-3,4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%</a:t>
          </a:r>
          <a:endParaRPr lang="ru-RU" sz="12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0.58971</cdr:x>
      <cdr:y>0.62777</cdr:y>
    </cdr:from>
    <cdr:to>
      <cdr:x>0.69963</cdr:x>
      <cdr:y>0.72837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3696505" y="2009103"/>
          <a:ext cx="689020" cy="32197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Times New Roman" pitchFamily="18" charset="0"/>
              <a:cs typeface="Times New Roman" pitchFamily="18" charset="0"/>
            </a:rPr>
            <a:t>-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7,1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%</a:t>
          </a:r>
          <a:endParaRPr lang="ru-RU" sz="12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0.81057</cdr:x>
      <cdr:y>0.62173</cdr:y>
    </cdr:from>
    <cdr:to>
      <cdr:x>0.92049</cdr:x>
      <cdr:y>0.73113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5078685" y="1697522"/>
          <a:ext cx="688711" cy="298704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Times New Roman" pitchFamily="18" charset="0"/>
              <a:cs typeface="Times New Roman" pitchFamily="18" charset="0"/>
            </a:rPr>
            <a:t>+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27,1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%</a:t>
          </a:r>
          <a:endParaRPr lang="ru-RU" sz="12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0.60631</cdr:x>
      <cdr:y>0.51179</cdr:y>
    </cdr:from>
    <cdr:to>
      <cdr:x>0.69626</cdr:x>
      <cdr:y>0.58719</cdr:y>
    </cdr:to>
    <cdr:sp macro="" textlink="">
      <cdr:nvSpPr>
        <cdr:cNvPr id="11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798857" y="1397358"/>
          <a:ext cx="563588" cy="205870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0.38534</cdr:x>
      <cdr:y>0.51887</cdr:y>
    </cdr:from>
    <cdr:to>
      <cdr:x>0.47529</cdr:x>
      <cdr:y>0.59427</cdr:y>
    </cdr:to>
    <cdr:sp macro="" textlink="">
      <cdr:nvSpPr>
        <cdr:cNvPr id="10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14400" y="1416669"/>
          <a:ext cx="563588" cy="205866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0.17363</cdr:x>
      <cdr:y>0.56839</cdr:y>
    </cdr:from>
    <cdr:to>
      <cdr:x>0.21583</cdr:x>
      <cdr:y>0.60141</cdr:y>
    </cdr:to>
    <cdr:sp macro="" textlink="">
      <cdr:nvSpPr>
        <cdr:cNvPr id="2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87879" y="1551892"/>
          <a:ext cx="264407" cy="90155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0.32235</cdr:x>
      <cdr:y>0.57075</cdr:y>
    </cdr:from>
    <cdr:to>
      <cdr:x>0.36383</cdr:x>
      <cdr:y>0.60525</cdr:y>
    </cdr:to>
    <cdr:sp macro="" textlink="">
      <cdr:nvSpPr>
        <cdr:cNvPr id="3" name="AutoShape 1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19681" y="1558339"/>
          <a:ext cx="259896" cy="94196"/>
        </a:xfrm>
        <a:prstGeom xmlns:a="http://schemas.openxmlformats.org/drawingml/2006/main" prst="curvedUpArrow">
          <a:avLst>
            <a:gd name="adj1" fmla="val 61482"/>
            <a:gd name="adj2" fmla="val 122964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0.22919</cdr:x>
      <cdr:y>0.64622</cdr:y>
    </cdr:from>
    <cdr:to>
      <cdr:x>0.29599</cdr:x>
      <cdr:y>0.71858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436023" y="1764400"/>
          <a:ext cx="418541" cy="19756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700">
              <a:latin typeface="Times New Roman" pitchFamily="18" charset="0"/>
              <a:cs typeface="Times New Roman" pitchFamily="18" charset="0"/>
            </a:rPr>
            <a:t>-</a:t>
          </a:r>
          <a:r>
            <a:rPr lang="ru-RU" sz="700">
              <a:latin typeface="Times New Roman" pitchFamily="18" charset="0"/>
              <a:cs typeface="Times New Roman" pitchFamily="18" charset="0"/>
            </a:rPr>
            <a:t>8</a:t>
          </a:r>
          <a:r>
            <a:rPr lang="en-US" sz="700">
              <a:latin typeface="Times New Roman" pitchFamily="18" charset="0"/>
              <a:cs typeface="Times New Roman" pitchFamily="18" charset="0"/>
            </a:rPr>
            <a:t>,</a:t>
          </a:r>
          <a:r>
            <a:rPr lang="ru-RU" sz="700">
              <a:latin typeface="Times New Roman" pitchFamily="18" charset="0"/>
              <a:cs typeface="Times New Roman" pitchFamily="18" charset="0"/>
            </a:rPr>
            <a:t>9</a:t>
          </a:r>
          <a:r>
            <a:rPr lang="en-US" sz="700">
              <a:latin typeface="Times New Roman" pitchFamily="18" charset="0"/>
              <a:cs typeface="Times New Roman" pitchFamily="18" charset="0"/>
            </a:rPr>
            <a:t>%</a:t>
          </a:r>
          <a:endParaRPr lang="ru-RU" sz="7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0.09044</cdr:x>
      <cdr:y>0.64386</cdr:y>
    </cdr:from>
    <cdr:to>
      <cdr:x>0.15724</cdr:x>
      <cdr:y>0.71623</cdr:y>
    </cdr:to>
    <cdr:sp macro="" textlink="">
      <cdr:nvSpPr>
        <cdr:cNvPr id="12" name="TextBox 11"/>
        <cdr:cNvSpPr txBox="1"/>
      </cdr:nvSpPr>
      <cdr:spPr>
        <a:xfrm xmlns:a="http://schemas.openxmlformats.org/drawingml/2006/main">
          <a:off x="566664" y="1757954"/>
          <a:ext cx="418540" cy="197593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700">
              <a:latin typeface="Times New Roman" pitchFamily="18" charset="0"/>
              <a:cs typeface="Times New Roman" pitchFamily="18" charset="0"/>
            </a:rPr>
            <a:t>+</a:t>
          </a:r>
          <a:r>
            <a:rPr lang="ru-RU" sz="700">
              <a:latin typeface="Times New Roman" pitchFamily="18" charset="0"/>
              <a:cs typeface="Times New Roman" pitchFamily="18" charset="0"/>
            </a:rPr>
            <a:t>1,4</a:t>
          </a:r>
          <a:r>
            <a:rPr lang="en-US" sz="700">
              <a:latin typeface="Times New Roman" pitchFamily="18" charset="0"/>
              <a:cs typeface="Times New Roman" pitchFamily="18" charset="0"/>
            </a:rPr>
            <a:t>%</a:t>
          </a:r>
          <a:endParaRPr lang="ru-RU" sz="7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0.31243</cdr:x>
      <cdr:y>0.64151</cdr:y>
    </cdr:from>
    <cdr:to>
      <cdr:x>0.37923</cdr:x>
      <cdr:y>0.71388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1957582" y="1751515"/>
          <a:ext cx="418540" cy="197593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700">
              <a:latin typeface="Times New Roman" pitchFamily="18" charset="0"/>
              <a:cs typeface="Times New Roman" pitchFamily="18" charset="0"/>
            </a:rPr>
            <a:t>+3,3%</a:t>
          </a:r>
          <a:endParaRPr lang="ru-RU" sz="7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0.38643</cdr:x>
      <cdr:y>0.64151</cdr:y>
    </cdr:from>
    <cdr:to>
      <cdr:x>0.45323</cdr:x>
      <cdr:y>0.71388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2421222" y="1751515"/>
          <a:ext cx="418540" cy="197593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700">
              <a:latin typeface="Times New Roman" pitchFamily="18" charset="0"/>
              <a:cs typeface="Times New Roman" pitchFamily="18" charset="0"/>
            </a:rPr>
            <a:t>+1,6%</a:t>
          </a:r>
          <a:endParaRPr lang="ru-RU" sz="7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0.83248</cdr:x>
      <cdr:y>0.64151</cdr:y>
    </cdr:from>
    <cdr:to>
      <cdr:x>0.89928</cdr:x>
      <cdr:y>0.71388</cdr:y>
    </cdr:to>
    <cdr:sp macro="" textlink="">
      <cdr:nvSpPr>
        <cdr:cNvPr id="8" name="TextBox 7"/>
        <cdr:cNvSpPr txBox="1"/>
      </cdr:nvSpPr>
      <cdr:spPr>
        <a:xfrm xmlns:a="http://schemas.openxmlformats.org/drawingml/2006/main">
          <a:off x="5215938" y="1751515"/>
          <a:ext cx="418540" cy="197593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700">
              <a:latin typeface="Times New Roman" pitchFamily="18" charset="0"/>
              <a:cs typeface="Times New Roman" pitchFamily="18" charset="0"/>
            </a:rPr>
            <a:t>+</a:t>
          </a:r>
          <a:r>
            <a:rPr lang="ru-RU" sz="700">
              <a:latin typeface="Times New Roman" pitchFamily="18" charset="0"/>
              <a:cs typeface="Times New Roman" pitchFamily="18" charset="0"/>
            </a:rPr>
            <a:t>9</a:t>
          </a:r>
          <a:r>
            <a:rPr lang="en-US" sz="700">
              <a:latin typeface="Times New Roman" pitchFamily="18" charset="0"/>
              <a:cs typeface="Times New Roman" pitchFamily="18" charset="0"/>
            </a:rPr>
            <a:t>,</a:t>
          </a:r>
          <a:r>
            <a:rPr lang="ru-RU" sz="700">
              <a:latin typeface="Times New Roman" pitchFamily="18" charset="0"/>
              <a:cs typeface="Times New Roman" pitchFamily="18" charset="0"/>
            </a:rPr>
            <a:t>0</a:t>
          </a:r>
          <a:r>
            <a:rPr lang="en-US" sz="700">
              <a:latin typeface="Times New Roman" pitchFamily="18" charset="0"/>
              <a:cs typeface="Times New Roman" pitchFamily="18" charset="0"/>
            </a:rPr>
            <a:t>%</a:t>
          </a:r>
          <a:endParaRPr lang="ru-RU" sz="7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0.15519</cdr:x>
      <cdr:y>0.64387</cdr:y>
    </cdr:from>
    <cdr:to>
      <cdr:x>0.22199</cdr:x>
      <cdr:y>0.71623</cdr:y>
    </cdr:to>
    <cdr:sp macro="" textlink="">
      <cdr:nvSpPr>
        <cdr:cNvPr id="9" name="TextBox 8"/>
        <cdr:cNvSpPr txBox="1"/>
      </cdr:nvSpPr>
      <cdr:spPr>
        <a:xfrm xmlns:a="http://schemas.openxmlformats.org/drawingml/2006/main">
          <a:off x="972383" y="1757960"/>
          <a:ext cx="418541" cy="19756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700">
              <a:latin typeface="Times New Roman" pitchFamily="18" charset="0"/>
              <a:cs typeface="Times New Roman" pitchFamily="18" charset="0"/>
            </a:rPr>
            <a:t>-</a:t>
          </a:r>
          <a:r>
            <a:rPr lang="ru-RU" sz="700">
              <a:latin typeface="Times New Roman" pitchFamily="18" charset="0"/>
              <a:cs typeface="Times New Roman" pitchFamily="18" charset="0"/>
            </a:rPr>
            <a:t>3</a:t>
          </a:r>
          <a:r>
            <a:rPr lang="en-US" sz="700">
              <a:latin typeface="Times New Roman" pitchFamily="18" charset="0"/>
              <a:cs typeface="Times New Roman" pitchFamily="18" charset="0"/>
            </a:rPr>
            <a:t>,</a:t>
          </a:r>
          <a:r>
            <a:rPr lang="ru-RU" sz="700">
              <a:latin typeface="Times New Roman" pitchFamily="18" charset="0"/>
              <a:cs typeface="Times New Roman" pitchFamily="18" charset="0"/>
            </a:rPr>
            <a:t>8</a:t>
          </a:r>
          <a:r>
            <a:rPr lang="en-US" sz="700">
              <a:latin typeface="Times New Roman" pitchFamily="18" charset="0"/>
              <a:cs typeface="Times New Roman" pitchFamily="18" charset="0"/>
            </a:rPr>
            <a:t>%</a:t>
          </a:r>
          <a:endParaRPr lang="ru-RU" sz="7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0.10138</cdr:x>
      <cdr:y>0.57075</cdr:y>
    </cdr:from>
    <cdr:to>
      <cdr:x>0.14286</cdr:x>
      <cdr:y>0.60525</cdr:y>
    </cdr:to>
    <cdr:sp macro="" textlink="">
      <cdr:nvSpPr>
        <cdr:cNvPr id="10" name="AutoShape 1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35202" y="1558339"/>
          <a:ext cx="259896" cy="94196"/>
        </a:xfrm>
        <a:prstGeom xmlns:a="http://schemas.openxmlformats.org/drawingml/2006/main" prst="curvedUpArrow">
          <a:avLst>
            <a:gd name="adj1" fmla="val 61482"/>
            <a:gd name="adj2" fmla="val 122964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0.39943</cdr:x>
      <cdr:y>0.57547</cdr:y>
    </cdr:from>
    <cdr:to>
      <cdr:x>0.44091</cdr:x>
      <cdr:y>0.60997</cdr:y>
    </cdr:to>
    <cdr:sp macro="" textlink="">
      <cdr:nvSpPr>
        <cdr:cNvPr id="11" name="AutoShape 1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02639" y="1571218"/>
          <a:ext cx="259896" cy="94196"/>
        </a:xfrm>
        <a:prstGeom xmlns:a="http://schemas.openxmlformats.org/drawingml/2006/main" prst="curvedUpArrow">
          <a:avLst>
            <a:gd name="adj1" fmla="val 61482"/>
            <a:gd name="adj2" fmla="val 122964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0.84547</cdr:x>
      <cdr:y>0.57075</cdr:y>
    </cdr:from>
    <cdr:to>
      <cdr:x>0.88695</cdr:x>
      <cdr:y>0.60525</cdr:y>
    </cdr:to>
    <cdr:sp macro="" textlink="">
      <cdr:nvSpPr>
        <cdr:cNvPr id="13" name="AutoShape 1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297354" y="1558338"/>
          <a:ext cx="259896" cy="94196"/>
        </a:xfrm>
        <a:prstGeom xmlns:a="http://schemas.openxmlformats.org/drawingml/2006/main" prst="curvedUpArrow">
          <a:avLst>
            <a:gd name="adj1" fmla="val 61482"/>
            <a:gd name="adj2" fmla="val 122964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0.45941</cdr:x>
      <cdr:y>0.64151</cdr:y>
    </cdr:from>
    <cdr:to>
      <cdr:x>0.53443</cdr:x>
      <cdr:y>0.71387</cdr:y>
    </cdr:to>
    <cdr:sp macro="" textlink="">
      <cdr:nvSpPr>
        <cdr:cNvPr id="15" name="TextBox 14"/>
        <cdr:cNvSpPr txBox="1"/>
      </cdr:nvSpPr>
      <cdr:spPr>
        <a:xfrm xmlns:a="http://schemas.openxmlformats.org/drawingml/2006/main">
          <a:off x="2878456" y="1751521"/>
          <a:ext cx="470051" cy="19756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700">
              <a:latin typeface="Times New Roman" pitchFamily="18" charset="0"/>
              <a:cs typeface="Times New Roman" pitchFamily="18" charset="0"/>
            </a:rPr>
            <a:t>-</a:t>
          </a:r>
          <a:r>
            <a:rPr lang="ru-RU" sz="700">
              <a:latin typeface="Times New Roman" pitchFamily="18" charset="0"/>
              <a:cs typeface="Times New Roman" pitchFamily="18" charset="0"/>
            </a:rPr>
            <a:t>9</a:t>
          </a:r>
          <a:r>
            <a:rPr lang="en-US" sz="700">
              <a:latin typeface="Times New Roman" pitchFamily="18" charset="0"/>
              <a:cs typeface="Times New Roman" pitchFamily="18" charset="0"/>
            </a:rPr>
            <a:t>,</a:t>
          </a:r>
          <a:r>
            <a:rPr lang="ru-RU" sz="700">
              <a:latin typeface="Times New Roman" pitchFamily="18" charset="0"/>
              <a:cs typeface="Times New Roman" pitchFamily="18" charset="0"/>
            </a:rPr>
            <a:t>7</a:t>
          </a:r>
          <a:r>
            <a:rPr lang="en-US" sz="700">
              <a:latin typeface="Times New Roman" pitchFamily="18" charset="0"/>
              <a:cs typeface="Times New Roman" pitchFamily="18" charset="0"/>
            </a:rPr>
            <a:t>%</a:t>
          </a:r>
          <a:endParaRPr lang="ru-RU" sz="7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0.53135</cdr:x>
      <cdr:y>0.64151</cdr:y>
    </cdr:from>
    <cdr:to>
      <cdr:x>0.60329</cdr:x>
      <cdr:y>0.71387</cdr:y>
    </cdr:to>
    <cdr:sp macro="" textlink="">
      <cdr:nvSpPr>
        <cdr:cNvPr id="16" name="TextBox 15"/>
        <cdr:cNvSpPr txBox="1"/>
      </cdr:nvSpPr>
      <cdr:spPr>
        <a:xfrm xmlns:a="http://schemas.openxmlformats.org/drawingml/2006/main">
          <a:off x="3329217" y="1751521"/>
          <a:ext cx="450733" cy="19756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700">
              <a:latin typeface="Times New Roman" pitchFamily="18" charset="0"/>
              <a:cs typeface="Times New Roman" pitchFamily="18" charset="0"/>
            </a:rPr>
            <a:t>-</a:t>
          </a:r>
          <a:r>
            <a:rPr lang="ru-RU" sz="700">
              <a:latin typeface="Times New Roman" pitchFamily="18" charset="0"/>
              <a:cs typeface="Times New Roman" pitchFamily="18" charset="0"/>
            </a:rPr>
            <a:t>9</a:t>
          </a:r>
          <a:r>
            <a:rPr lang="en-US" sz="700">
              <a:latin typeface="Times New Roman" pitchFamily="18" charset="0"/>
              <a:cs typeface="Times New Roman" pitchFamily="18" charset="0"/>
            </a:rPr>
            <a:t>,</a:t>
          </a:r>
          <a:r>
            <a:rPr lang="ru-RU" sz="700">
              <a:latin typeface="Times New Roman" pitchFamily="18" charset="0"/>
              <a:cs typeface="Times New Roman" pitchFamily="18" charset="0"/>
            </a:rPr>
            <a:t>7</a:t>
          </a:r>
          <a:r>
            <a:rPr lang="en-US" sz="700">
              <a:latin typeface="Times New Roman" pitchFamily="18" charset="0"/>
              <a:cs typeface="Times New Roman" pitchFamily="18" charset="0"/>
            </a:rPr>
            <a:t>%</a:t>
          </a:r>
          <a:endParaRPr lang="ru-RU" sz="7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0.60843</cdr:x>
      <cdr:y>0.64151</cdr:y>
    </cdr:from>
    <cdr:to>
      <cdr:x>0.67523</cdr:x>
      <cdr:y>0.71387</cdr:y>
    </cdr:to>
    <cdr:sp macro="" textlink="">
      <cdr:nvSpPr>
        <cdr:cNvPr id="17" name="TextBox 16"/>
        <cdr:cNvSpPr txBox="1"/>
      </cdr:nvSpPr>
      <cdr:spPr>
        <a:xfrm xmlns:a="http://schemas.openxmlformats.org/drawingml/2006/main">
          <a:off x="3812175" y="1751521"/>
          <a:ext cx="418541" cy="19756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700">
              <a:latin typeface="Times New Roman" pitchFamily="18" charset="0"/>
              <a:cs typeface="Times New Roman" pitchFamily="18" charset="0"/>
            </a:rPr>
            <a:t>-3,8%</a:t>
          </a:r>
          <a:endParaRPr lang="ru-RU" sz="7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0.68037</cdr:x>
      <cdr:y>0.63915</cdr:y>
    </cdr:from>
    <cdr:to>
      <cdr:x>0.74717</cdr:x>
      <cdr:y>0.71151</cdr:y>
    </cdr:to>
    <cdr:sp macro="" textlink="">
      <cdr:nvSpPr>
        <cdr:cNvPr id="18" name="TextBox 17"/>
        <cdr:cNvSpPr txBox="1"/>
      </cdr:nvSpPr>
      <cdr:spPr>
        <a:xfrm xmlns:a="http://schemas.openxmlformats.org/drawingml/2006/main">
          <a:off x="4262935" y="1745082"/>
          <a:ext cx="418541" cy="19756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700">
              <a:latin typeface="Times New Roman" pitchFamily="18" charset="0"/>
              <a:cs typeface="Times New Roman" pitchFamily="18" charset="0"/>
            </a:rPr>
            <a:t>-</a:t>
          </a:r>
          <a:r>
            <a:rPr lang="ru-RU" sz="700">
              <a:latin typeface="Times New Roman" pitchFamily="18" charset="0"/>
              <a:cs typeface="Times New Roman" pitchFamily="18" charset="0"/>
            </a:rPr>
            <a:t>4</a:t>
          </a:r>
          <a:r>
            <a:rPr lang="en-US" sz="700">
              <a:latin typeface="Times New Roman" pitchFamily="18" charset="0"/>
              <a:cs typeface="Times New Roman" pitchFamily="18" charset="0"/>
            </a:rPr>
            <a:t>,</a:t>
          </a:r>
          <a:r>
            <a:rPr lang="ru-RU" sz="700">
              <a:latin typeface="Times New Roman" pitchFamily="18" charset="0"/>
              <a:cs typeface="Times New Roman" pitchFamily="18" charset="0"/>
            </a:rPr>
            <a:t>8</a:t>
          </a:r>
          <a:r>
            <a:rPr lang="en-US" sz="700">
              <a:latin typeface="Times New Roman" pitchFamily="18" charset="0"/>
              <a:cs typeface="Times New Roman" pitchFamily="18" charset="0"/>
            </a:rPr>
            <a:t>%</a:t>
          </a:r>
          <a:endParaRPr lang="ru-RU" sz="7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0.7554</cdr:x>
      <cdr:y>0.63915</cdr:y>
    </cdr:from>
    <cdr:to>
      <cdr:x>0.83145</cdr:x>
      <cdr:y>0.71151</cdr:y>
    </cdr:to>
    <cdr:sp macro="" textlink="">
      <cdr:nvSpPr>
        <cdr:cNvPr id="19" name="TextBox 18"/>
        <cdr:cNvSpPr txBox="1"/>
      </cdr:nvSpPr>
      <cdr:spPr>
        <a:xfrm xmlns:a="http://schemas.openxmlformats.org/drawingml/2006/main">
          <a:off x="4733014" y="1745082"/>
          <a:ext cx="476491" cy="19756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700">
              <a:latin typeface="Times New Roman" pitchFamily="18" charset="0"/>
              <a:cs typeface="Times New Roman" pitchFamily="18" charset="0"/>
            </a:rPr>
            <a:t>-14,</a:t>
          </a:r>
          <a:r>
            <a:rPr lang="ru-RU" sz="700">
              <a:latin typeface="Times New Roman" pitchFamily="18" charset="0"/>
              <a:cs typeface="Times New Roman" pitchFamily="18" charset="0"/>
            </a:rPr>
            <a:t>3</a:t>
          </a:r>
          <a:r>
            <a:rPr lang="en-US" sz="700">
              <a:latin typeface="Times New Roman" pitchFamily="18" charset="0"/>
              <a:cs typeface="Times New Roman" pitchFamily="18" charset="0"/>
            </a:rPr>
            <a:t>%</a:t>
          </a:r>
          <a:endParaRPr lang="ru-RU" sz="7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0.25071</cdr:x>
      <cdr:y>0.57075</cdr:y>
    </cdr:from>
    <cdr:to>
      <cdr:x>0.29291</cdr:x>
      <cdr:y>0.60377</cdr:y>
    </cdr:to>
    <cdr:sp macro="" textlink="">
      <cdr:nvSpPr>
        <cdr:cNvPr id="20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70837" y="1558331"/>
          <a:ext cx="264407" cy="90155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0.47476</cdr:x>
      <cdr:y>0.57311</cdr:y>
    </cdr:from>
    <cdr:to>
      <cdr:x>0.51696</cdr:x>
      <cdr:y>0.60613</cdr:y>
    </cdr:to>
    <cdr:sp macro="" textlink="">
      <cdr:nvSpPr>
        <cdr:cNvPr id="21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74634" y="1564770"/>
          <a:ext cx="264407" cy="90155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0.54876</cdr:x>
      <cdr:y>0.57075</cdr:y>
    </cdr:from>
    <cdr:to>
      <cdr:x>0.59096</cdr:x>
      <cdr:y>0.60377</cdr:y>
    </cdr:to>
    <cdr:sp macro="" textlink="">
      <cdr:nvSpPr>
        <cdr:cNvPr id="22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38273" y="1558332"/>
          <a:ext cx="264407" cy="90155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0.62378</cdr:x>
      <cdr:y>0.56603</cdr:y>
    </cdr:from>
    <cdr:to>
      <cdr:x>0.66598</cdr:x>
      <cdr:y>0.59905</cdr:y>
    </cdr:to>
    <cdr:sp macro="" textlink="">
      <cdr:nvSpPr>
        <cdr:cNvPr id="23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08352" y="1545453"/>
          <a:ext cx="264407" cy="90155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0.69572</cdr:x>
      <cdr:y>0.56603</cdr:y>
    </cdr:from>
    <cdr:to>
      <cdr:x>0.73792</cdr:x>
      <cdr:y>0.59905</cdr:y>
    </cdr:to>
    <cdr:sp macro="" textlink="">
      <cdr:nvSpPr>
        <cdr:cNvPr id="24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359112" y="1545453"/>
          <a:ext cx="264407" cy="90155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0.77383</cdr:x>
      <cdr:y>0.56603</cdr:y>
    </cdr:from>
    <cdr:to>
      <cdr:x>0.81603</cdr:x>
      <cdr:y>0.59905</cdr:y>
    </cdr:to>
    <cdr:sp macro="" textlink="">
      <cdr:nvSpPr>
        <cdr:cNvPr id="25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848509" y="1545453"/>
          <a:ext cx="264407" cy="90155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0.90648</cdr:x>
      <cdr:y>0.64151</cdr:y>
    </cdr:from>
    <cdr:to>
      <cdr:x>0.97328</cdr:x>
      <cdr:y>0.71388</cdr:y>
    </cdr:to>
    <cdr:sp macro="" textlink="">
      <cdr:nvSpPr>
        <cdr:cNvPr id="26" name="TextBox 25"/>
        <cdr:cNvSpPr txBox="1"/>
      </cdr:nvSpPr>
      <cdr:spPr>
        <a:xfrm xmlns:a="http://schemas.openxmlformats.org/drawingml/2006/main">
          <a:off x="5679606" y="1751528"/>
          <a:ext cx="418541" cy="197594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700">
              <a:latin typeface="Times New Roman" pitchFamily="18" charset="0"/>
              <a:cs typeface="Times New Roman" pitchFamily="18" charset="0"/>
            </a:rPr>
            <a:t>+</a:t>
          </a:r>
          <a:r>
            <a:rPr lang="ru-RU" sz="700">
              <a:latin typeface="Times New Roman" pitchFamily="18" charset="0"/>
              <a:cs typeface="Times New Roman" pitchFamily="18" charset="0"/>
            </a:rPr>
            <a:t>6</a:t>
          </a:r>
          <a:r>
            <a:rPr lang="en-US" sz="700">
              <a:latin typeface="Times New Roman" pitchFamily="18" charset="0"/>
              <a:cs typeface="Times New Roman" pitchFamily="18" charset="0"/>
            </a:rPr>
            <a:t>,</a:t>
          </a:r>
          <a:r>
            <a:rPr lang="ru-RU" sz="700">
              <a:latin typeface="Times New Roman" pitchFamily="18" charset="0"/>
              <a:cs typeface="Times New Roman" pitchFamily="18" charset="0"/>
            </a:rPr>
            <a:t>8</a:t>
          </a:r>
          <a:r>
            <a:rPr lang="en-US" sz="700">
              <a:latin typeface="Times New Roman" pitchFamily="18" charset="0"/>
              <a:cs typeface="Times New Roman" pitchFamily="18" charset="0"/>
            </a:rPr>
            <a:t>%</a:t>
          </a:r>
          <a:endParaRPr lang="ru-RU" sz="7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0.9205</cdr:x>
      <cdr:y>0.57311</cdr:y>
    </cdr:from>
    <cdr:to>
      <cdr:x>0.96198</cdr:x>
      <cdr:y>0.60761</cdr:y>
    </cdr:to>
    <cdr:sp macro="" textlink="">
      <cdr:nvSpPr>
        <cdr:cNvPr id="27" name="AutoShape 1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767432" y="1564770"/>
          <a:ext cx="259896" cy="94196"/>
        </a:xfrm>
        <a:prstGeom xmlns:a="http://schemas.openxmlformats.org/drawingml/2006/main" prst="curvedUpArrow">
          <a:avLst>
            <a:gd name="adj1" fmla="val 61482"/>
            <a:gd name="adj2" fmla="val 122964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0.82697</cdr:x>
      <cdr:y>0.51651</cdr:y>
    </cdr:from>
    <cdr:to>
      <cdr:x>0.91368</cdr:x>
      <cdr:y>0.58403</cdr:y>
    </cdr:to>
    <cdr:sp macro="" textlink="">
      <cdr:nvSpPr>
        <cdr:cNvPr id="3" name="AutoShape 1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181440" y="1410237"/>
          <a:ext cx="543288" cy="184352"/>
        </a:xfrm>
        <a:prstGeom xmlns:a="http://schemas.openxmlformats.org/drawingml/2006/main" prst="curvedUpArrow">
          <a:avLst>
            <a:gd name="adj1" fmla="val 61482"/>
            <a:gd name="adj2" fmla="val 122964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0.14797</cdr:x>
      <cdr:y>0.62978</cdr:y>
    </cdr:from>
    <cdr:to>
      <cdr:x>0.25789</cdr:x>
      <cdr:y>0.73038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927547" y="2015543"/>
          <a:ext cx="689020" cy="32197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+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0,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7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%</a:t>
          </a:r>
          <a:endParaRPr lang="ru-RU" sz="12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0.36884</cdr:x>
      <cdr:y>0.62374</cdr:y>
    </cdr:from>
    <cdr:to>
      <cdr:x>0.47876</cdr:x>
      <cdr:y>0.72435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312026" y="1996225"/>
          <a:ext cx="689020" cy="32197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Times New Roman" pitchFamily="18" charset="0"/>
              <a:cs typeface="Times New Roman" pitchFamily="18" charset="0"/>
            </a:rPr>
            <a:t>-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6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,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9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%</a:t>
          </a:r>
          <a:endParaRPr lang="ru-RU" sz="12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0.58971</cdr:x>
      <cdr:y>0.62777</cdr:y>
    </cdr:from>
    <cdr:to>
      <cdr:x>0.69963</cdr:x>
      <cdr:y>0.72837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3696505" y="2009103"/>
          <a:ext cx="689020" cy="32197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Times New Roman" pitchFamily="18" charset="0"/>
              <a:cs typeface="Times New Roman" pitchFamily="18" charset="0"/>
            </a:rPr>
            <a:t>-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6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,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7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%</a:t>
          </a:r>
          <a:endParaRPr lang="ru-RU" sz="12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0.81057</cdr:x>
      <cdr:y>0.62173</cdr:y>
    </cdr:from>
    <cdr:to>
      <cdr:x>0.92049</cdr:x>
      <cdr:y>0.72233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5080984" y="1989785"/>
          <a:ext cx="689020" cy="32197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Times New Roman" pitchFamily="18" charset="0"/>
              <a:cs typeface="Times New Roman" pitchFamily="18" charset="0"/>
            </a:rPr>
            <a:t>+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42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,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3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%</a:t>
          </a:r>
          <a:endParaRPr lang="ru-RU" sz="12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0.38534</cdr:x>
      <cdr:y>0.49528</cdr:y>
    </cdr:from>
    <cdr:to>
      <cdr:x>0.47529</cdr:x>
      <cdr:y>0.57068</cdr:y>
    </cdr:to>
    <cdr:sp macro="" textlink="">
      <cdr:nvSpPr>
        <cdr:cNvPr id="10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14378" y="1352282"/>
          <a:ext cx="563588" cy="205870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0.60631</cdr:x>
      <cdr:y>0.51179</cdr:y>
    </cdr:from>
    <cdr:to>
      <cdr:x>0.69626</cdr:x>
      <cdr:y>0.58719</cdr:y>
    </cdr:to>
    <cdr:sp macro="" textlink="">
      <cdr:nvSpPr>
        <cdr:cNvPr id="11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798857" y="1397358"/>
          <a:ext cx="563588" cy="205870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0.16202</cdr:x>
      <cdr:y>0.51415</cdr:y>
    </cdr:from>
    <cdr:to>
      <cdr:x>0.24873</cdr:x>
      <cdr:y>0.58167</cdr:y>
    </cdr:to>
    <cdr:sp macro="" textlink="">
      <cdr:nvSpPr>
        <cdr:cNvPr id="12" name="AutoShape 1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15125" y="1403799"/>
          <a:ext cx="543288" cy="184351"/>
        </a:xfrm>
        <a:prstGeom xmlns:a="http://schemas.openxmlformats.org/drawingml/2006/main" prst="curvedUpArrow">
          <a:avLst>
            <a:gd name="adj1" fmla="val 61482"/>
            <a:gd name="adj2" fmla="val 122964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0.15718</cdr:x>
      <cdr:y>0.50236</cdr:y>
    </cdr:from>
    <cdr:to>
      <cdr:x>0.24713</cdr:x>
      <cdr:y>0.57776</cdr:y>
    </cdr:to>
    <cdr:sp macro="" textlink="">
      <cdr:nvSpPr>
        <cdr:cNvPr id="2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984823" y="1371600"/>
          <a:ext cx="563588" cy="205870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0.37887</cdr:x>
      <cdr:y>0.50236</cdr:y>
    </cdr:from>
    <cdr:to>
      <cdr:x>0.46558</cdr:x>
      <cdr:y>0.56988</cdr:y>
    </cdr:to>
    <cdr:sp macro="" textlink="">
      <cdr:nvSpPr>
        <cdr:cNvPr id="3" name="AutoShape 1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73845" y="1371602"/>
          <a:ext cx="543288" cy="184351"/>
        </a:xfrm>
        <a:prstGeom xmlns:a="http://schemas.openxmlformats.org/drawingml/2006/main" prst="curvedUpArrow">
          <a:avLst>
            <a:gd name="adj1" fmla="val 61482"/>
            <a:gd name="adj2" fmla="val 122964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0.14797</cdr:x>
      <cdr:y>0.62978</cdr:y>
    </cdr:from>
    <cdr:to>
      <cdr:x>0.25789</cdr:x>
      <cdr:y>0.73038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927547" y="2015543"/>
          <a:ext cx="689020" cy="32197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Times New Roman" pitchFamily="18" charset="0"/>
              <a:cs typeface="Times New Roman" pitchFamily="18" charset="0"/>
            </a:rPr>
            <a:t>-1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3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,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5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%</a:t>
          </a:r>
          <a:endParaRPr lang="ru-RU" sz="12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0.36884</cdr:x>
      <cdr:y>0.62374</cdr:y>
    </cdr:from>
    <cdr:to>
      <cdr:x>0.47876</cdr:x>
      <cdr:y>0.72435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312026" y="1996225"/>
          <a:ext cx="689020" cy="32197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Times New Roman" pitchFamily="18" charset="0"/>
              <a:cs typeface="Times New Roman" pitchFamily="18" charset="0"/>
            </a:rPr>
            <a:t>+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6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,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5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%</a:t>
          </a:r>
          <a:endParaRPr lang="ru-RU" sz="12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0.58971</cdr:x>
      <cdr:y>0.62777</cdr:y>
    </cdr:from>
    <cdr:to>
      <cdr:x>0.69963</cdr:x>
      <cdr:y>0.72837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3696505" y="2009103"/>
          <a:ext cx="689020" cy="32197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Times New Roman" pitchFamily="18" charset="0"/>
              <a:cs typeface="Times New Roman" pitchFamily="18" charset="0"/>
            </a:rPr>
            <a:t>-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9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,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8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%</a:t>
          </a:r>
          <a:endParaRPr lang="ru-RU" sz="12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0.81057</cdr:x>
      <cdr:y>0.62173</cdr:y>
    </cdr:from>
    <cdr:to>
      <cdr:x>0.92049</cdr:x>
      <cdr:y>0.72233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5080984" y="1989785"/>
          <a:ext cx="689020" cy="32197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Times New Roman" pitchFamily="18" charset="0"/>
              <a:cs typeface="Times New Roman" pitchFamily="18" charset="0"/>
            </a:rPr>
            <a:t>-2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1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,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3</a:t>
          </a:r>
          <a:r>
            <a:rPr lang="en-US" sz="1200">
              <a:latin typeface="Times New Roman" pitchFamily="18" charset="0"/>
              <a:cs typeface="Times New Roman" pitchFamily="18" charset="0"/>
            </a:rPr>
            <a:t>%</a:t>
          </a:r>
          <a:endParaRPr lang="ru-RU" sz="12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0.82522</cdr:x>
      <cdr:y>0.50943</cdr:y>
    </cdr:from>
    <cdr:to>
      <cdr:x>0.91517</cdr:x>
      <cdr:y>0.58483</cdr:y>
    </cdr:to>
    <cdr:sp macro="" textlink="">
      <cdr:nvSpPr>
        <cdr:cNvPr id="10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170455" y="1390909"/>
          <a:ext cx="563588" cy="205867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0.60631</cdr:x>
      <cdr:y>0.51179</cdr:y>
    </cdr:from>
    <cdr:to>
      <cdr:x>0.69626</cdr:x>
      <cdr:y>0.58719</cdr:y>
    </cdr:to>
    <cdr:sp macro="" textlink="">
      <cdr:nvSpPr>
        <cdr:cNvPr id="11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798857" y="1397358"/>
          <a:ext cx="563588" cy="205870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FFFF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Analiz_RC_.dot</Template>
  <TotalTime>12</TotalTime>
  <Pages>10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РОССИЙСКОЙ ФЕДЕРАЦИИ </vt:lpstr>
    </vt:vector>
  </TitlesOfParts>
  <Company>VNIIPO</Company>
  <LinksUpToDate>false</LinksUpToDate>
  <CharactersWithSpaces>13656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РОССИЙСКОЙ ФЕДЕРАЦИИ </dc:title>
  <dc:subject/>
  <dc:creator>admin</dc:creator>
  <cp:keywords/>
  <dc:description/>
  <cp:lastModifiedBy>1</cp:lastModifiedBy>
  <cp:revision>5</cp:revision>
  <cp:lastPrinted>2011-05-18T04:05:00Z</cp:lastPrinted>
  <dcterms:created xsi:type="dcterms:W3CDTF">2015-01-12T08:32:00Z</dcterms:created>
  <dcterms:modified xsi:type="dcterms:W3CDTF">2015-01-12T08:42:00Z</dcterms:modified>
</cp:coreProperties>
</file>